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120"/>
        <w:jc w:val="center"/>
      </w:pPr>
      <w:r>
        <w:rPr>
          <w:rFonts w:ascii="Arial" w:cs="Arial" w:eastAsia="Arial" w:hAnsi="Arial"/>
          <w:b/>
          <w:bCs/>
          <w:color w:val="17181A"/>
          <w:sz w:val="28"/>
          <w:szCs w:val="28"/>
        </w:rPr>
        <w:t xml:space="preserve">SECTION 03 35 00</w:t>
      </w:r>
    </w:p>
    <w:p>
      <w:pPr>
        <w:spacing w:after="60"/>
        <w:jc w:val="center"/>
      </w:pPr>
      <w:r>
        <w:rPr>
          <w:rFonts w:ascii="Arial" w:cs="Arial" w:eastAsia="Arial" w:hAnsi="Arial"/>
          <w:b/>
          <w:bCs/>
          <w:color w:val="17181A"/>
          <w:sz w:val="28"/>
          <w:szCs w:val="28"/>
        </w:rPr>
        <w:t xml:space="preserve">CONCRETE FINISHING</w:t>
      </w:r>
    </w:p>
    <w:p>
      <w:pPr>
        <w:spacing w:after="240"/>
        <w:jc w:val="center"/>
      </w:pPr>
      <w:r>
        <w:rPr>
          <w:rFonts w:ascii="Arial" w:cs="Arial" w:eastAsia="Arial" w:hAnsi="Arial"/>
          <w:b/>
          <w:bCs/>
          <w:color w:val="C8102E"/>
          <w:sz w:val="21"/>
          <w:szCs w:val="21"/>
        </w:rPr>
        <w:t xml:space="preserve">PENETRATING LITHIUM SILICATE / NANO SILICA CONCRETE DENSIFIER</w:t>
      </w:r>
    </w:p>
    <w:p>
      <w:pPr>
        <w:spacing w:after="320"/>
        <w:jc w:val="center"/>
      </w:pPr>
      <w:r>
        <w:rPr>
          <w:rFonts w:ascii="Arial" w:cs="Arial" w:eastAsia="Arial" w:hAnsi="Arial"/>
          <w:color w:val="17181A"/>
          <w:sz w:val="20"/>
          <w:szCs w:val="20"/>
        </w:rPr>
        <w:t xml:space="preserve">Basis of Design: Bone Dry Li 200 Logistics — Bone Dry Products, Inc.</w:t>
      </w:r>
    </w:p>
    <w:p>
      <w:pPr>
        <w:keepLines/>
        <w:shd w:fill="EFEFED" w:val="clear"/>
        <w:spacing w:after="300"/>
        <w:ind w:left="240" w:right="240"/>
      </w:pPr>
      <w:r>
        <w:rPr>
          <w:rFonts w:ascii="Arial" w:cs="Arial" w:eastAsia="Arial" w:hAnsi="Arial"/>
          <w:i/>
          <w:iCs/>
          <w:color w:val="62656A"/>
          <w:sz w:val="18"/>
          <w:szCs w:val="18"/>
        </w:rPr>
        <w:t xml:space="preserve">SPECIFIER NOTE: This guide specification is written in CSI 3-part format for incorporation into project manuals. Edit bracketed selections and delete this note before issue. Coordinate with Section 03 30 00 for concrete placement and finishing tolerances. Li 200 Logistics assists in evenly curing the slab in the same manner as a curing compound; a separate curing compound is not necessary. Where a curing compound is nonetheless required, apply it after Li 200 Logistics.</w:t>
      </w:r>
    </w:p>
    <w:p>
      <w:pPr>
        <w:keepNext/>
        <w:keepLines/>
        <w:pBdr>
          <w:bottom w:val="single" w:color="C8102E" w:sz="8" w:space="2"/>
        </w:pBdr>
        <w:spacing w:after="170" w:before="380"/>
      </w:pPr>
      <w:r>
        <w:rPr>
          <w:rFonts w:ascii="Arial" w:cs="Arial" w:eastAsia="Arial" w:hAnsi="Arial"/>
          <w:b/>
          <w:bCs/>
          <w:color w:val="C8102E"/>
          <w:sz w:val="22"/>
          <w:szCs w:val="22"/>
        </w:rPr>
        <w:t xml:space="preserve">PART 1 — GENERAL</w:t>
      </w:r>
    </w:p>
    <w:p>
      <w:pPr>
        <w:keepNext/>
        <w:keepLines/>
        <w:spacing w:after="120" w:before="280"/>
      </w:pPr>
      <w:r>
        <w:rPr>
          <w:rFonts w:ascii="Arial" w:cs="Arial" w:eastAsia="Arial" w:hAnsi="Arial"/>
          <w:b/>
          <w:bCs/>
          <w:color w:val="17181A"/>
          <w:sz w:val="20"/>
          <w:szCs w:val="20"/>
        </w:rPr>
        <w:t xml:space="preserve">1.1  SUMMARY</w:t>
      </w:r>
    </w:p>
    <w:p>
      <w:pPr>
        <w:keepLines/>
        <w:spacing w:after="100"/>
        <w:ind w:left="720" w:hanging="360"/>
      </w:pPr>
      <w:r>
        <w:rPr>
          <w:rFonts w:ascii="Arial" w:cs="Arial" w:eastAsia="Arial" w:hAnsi="Arial"/>
          <w:color w:val="17181A"/>
          <w:sz w:val="20"/>
          <w:szCs w:val="20"/>
        </w:rPr>
        <w:t xml:space="preserve">A. Section Includes: Penetrating, water-based, high-solid-content lithium silicate and nano silica liquid densifier for exposed interior and exterior concrete surfaces in high-traffic and heavy-traffic environments.</w:t>
      </w:r>
    </w:p>
    <w:p>
      <w:pPr>
        <w:keepLines/>
        <w:spacing w:after="100"/>
        <w:ind w:left="720" w:hanging="360"/>
      </w:pPr>
      <w:r>
        <w:rPr>
          <w:rFonts w:ascii="Arial" w:cs="Arial" w:eastAsia="Arial" w:hAnsi="Arial"/>
          <w:color w:val="17181A"/>
          <w:sz w:val="20"/>
          <w:szCs w:val="20"/>
        </w:rPr>
        <w:t xml:space="preserve">B. Related Sections:</w:t>
      </w:r>
    </w:p>
    <w:p>
      <w:pPr>
        <w:keepLines/>
        <w:spacing w:after="100"/>
        <w:ind w:left="1080" w:hanging="360"/>
      </w:pPr>
      <w:r>
        <w:rPr>
          <w:rFonts w:ascii="Arial" w:cs="Arial" w:eastAsia="Arial" w:hAnsi="Arial"/>
          <w:color w:val="17181A"/>
          <w:sz w:val="20"/>
          <w:szCs w:val="20"/>
        </w:rPr>
        <w:t xml:space="preserve">1. Section 03 30 00 — Cast-in-Place Concrete.</w:t>
      </w:r>
    </w:p>
    <w:p>
      <w:pPr>
        <w:keepLines/>
        <w:spacing w:after="100"/>
        <w:ind w:left="1080" w:hanging="360"/>
      </w:pPr>
      <w:r>
        <w:rPr>
          <w:rFonts w:ascii="Arial" w:cs="Arial" w:eastAsia="Arial" w:hAnsi="Arial"/>
          <w:color w:val="17181A"/>
          <w:sz w:val="20"/>
          <w:szCs w:val="20"/>
        </w:rPr>
        <w:t xml:space="preserve">2. Section 03 35 43 — Polished Concrete Finishing.</w:t>
      </w:r>
    </w:p>
    <w:p>
      <w:pPr>
        <w:keepLines/>
        <w:spacing w:after="100"/>
        <w:ind w:left="1080" w:hanging="360"/>
      </w:pPr>
      <w:r>
        <w:rPr>
          <w:rFonts w:ascii="Arial" w:cs="Arial" w:eastAsia="Arial" w:hAnsi="Arial"/>
          <w:color w:val="17181A"/>
          <w:sz w:val="20"/>
          <w:szCs w:val="20"/>
        </w:rPr>
        <w:t xml:space="preserve">3. Section 03 39 00 — Concrete Curing.</w:t>
      </w:r>
    </w:p>
    <w:p>
      <w:pPr>
        <w:keepLines/>
        <w:spacing w:after="100"/>
        <w:ind w:left="1080" w:hanging="360"/>
      </w:pPr>
      <w:r>
        <w:rPr>
          <w:rFonts w:ascii="Arial" w:cs="Arial" w:eastAsia="Arial" w:hAnsi="Arial"/>
          <w:color w:val="17181A"/>
          <w:sz w:val="20"/>
          <w:szCs w:val="20"/>
        </w:rPr>
        <w:t xml:space="preserve">4. Section 03 05 59 — Post-Applied Concrete Treatments (Concrete Densifiers).</w:t>
      </w:r>
    </w:p>
    <w:p>
      <w:pPr>
        <w:keepNext/>
        <w:keepLines/>
        <w:spacing w:after="120" w:before="280"/>
      </w:pPr>
      <w:r>
        <w:rPr>
          <w:rFonts w:ascii="Arial" w:cs="Arial" w:eastAsia="Arial" w:hAnsi="Arial"/>
          <w:b/>
          <w:bCs/>
          <w:color w:val="17181A"/>
          <w:sz w:val="20"/>
          <w:szCs w:val="20"/>
        </w:rPr>
        <w:t xml:space="preserve">1.2  REFERENCES</w:t>
      </w:r>
    </w:p>
    <w:p>
      <w:pPr>
        <w:keepLines/>
        <w:spacing w:after="100"/>
        <w:ind w:left="720" w:hanging="360"/>
      </w:pPr>
      <w:r>
        <w:rPr>
          <w:rFonts w:ascii="Arial" w:cs="Arial" w:eastAsia="Arial" w:hAnsi="Arial"/>
          <w:color w:val="17181A"/>
          <w:sz w:val="20"/>
          <w:szCs w:val="20"/>
        </w:rPr>
        <w:t xml:space="preserve">A. ASTM International:</w:t>
      </w:r>
    </w:p>
    <w:p>
      <w:pPr>
        <w:keepLines/>
        <w:spacing w:after="100"/>
        <w:ind w:left="1080" w:hanging="360"/>
      </w:pPr>
      <w:r>
        <w:rPr>
          <w:rFonts w:ascii="Arial" w:cs="Arial" w:eastAsia="Arial" w:hAnsi="Arial"/>
          <w:color w:val="17181A"/>
          <w:sz w:val="20"/>
          <w:szCs w:val="20"/>
        </w:rPr>
        <w:t xml:space="preserve">1. ASTM C39 — Compressive Strength of Cylindrical Concrete Specimens.</w:t>
      </w:r>
    </w:p>
    <w:p>
      <w:pPr>
        <w:keepLines/>
        <w:spacing w:after="100"/>
        <w:ind w:left="1080" w:hanging="360"/>
      </w:pPr>
      <w:r>
        <w:rPr>
          <w:rFonts w:ascii="Arial" w:cs="Arial" w:eastAsia="Arial" w:hAnsi="Arial"/>
          <w:color w:val="17181A"/>
          <w:sz w:val="20"/>
          <w:szCs w:val="20"/>
        </w:rPr>
        <w:t xml:space="preserve">2. ASTM C157 — Length Change of Hardened Hydraulic-Cement Mortar and Concrete.</w:t>
      </w:r>
    </w:p>
    <w:p>
      <w:pPr>
        <w:keepLines/>
        <w:spacing w:after="100"/>
        <w:ind w:left="1080" w:hanging="360"/>
      </w:pPr>
      <w:r>
        <w:rPr>
          <w:rFonts w:ascii="Arial" w:cs="Arial" w:eastAsia="Arial" w:hAnsi="Arial"/>
          <w:color w:val="17181A"/>
          <w:sz w:val="20"/>
          <w:szCs w:val="20"/>
        </w:rPr>
        <w:t xml:space="preserve">3. ASTM C666 — Resistance of Concrete to Rapid Freezing and Thawing.</w:t>
      </w:r>
    </w:p>
    <w:p>
      <w:pPr>
        <w:keepLines/>
        <w:spacing w:after="100"/>
        <w:ind w:left="1080" w:hanging="360"/>
      </w:pPr>
      <w:r>
        <w:rPr>
          <w:rFonts w:ascii="Arial" w:cs="Arial" w:eastAsia="Arial" w:hAnsi="Arial"/>
          <w:color w:val="17181A"/>
          <w:sz w:val="20"/>
          <w:szCs w:val="20"/>
        </w:rPr>
        <w:t xml:space="preserve">4. ASTM C672 — Scaling Resistance of Concrete Surfaces Exposed to Deicing Chemicals.</w:t>
      </w:r>
    </w:p>
    <w:p>
      <w:pPr>
        <w:keepLines/>
        <w:spacing w:after="100"/>
        <w:ind w:left="1080" w:hanging="360"/>
      </w:pPr>
      <w:r>
        <w:rPr>
          <w:rFonts w:ascii="Arial" w:cs="Arial" w:eastAsia="Arial" w:hAnsi="Arial"/>
          <w:color w:val="17181A"/>
          <w:sz w:val="20"/>
          <w:szCs w:val="20"/>
        </w:rPr>
        <w:t xml:space="preserve">5. ASTM C1543 — Determining the Penetration of Chloride Ion into Concrete by Ponding.</w:t>
      </w:r>
    </w:p>
    <w:p>
      <w:pPr>
        <w:keepLines/>
        <w:spacing w:after="100"/>
        <w:ind w:left="1080" w:hanging="360"/>
      </w:pPr>
      <w:r>
        <w:rPr>
          <w:rFonts w:ascii="Arial" w:cs="Arial" w:eastAsia="Arial" w:hAnsi="Arial"/>
          <w:color w:val="17181A"/>
          <w:sz w:val="20"/>
          <w:szCs w:val="20"/>
        </w:rPr>
        <w:t xml:space="preserve">6. ASTM D4060 — Abrasion Resistance of Organic Coatings by the Taber Abraser.</w:t>
      </w:r>
    </w:p>
    <w:p>
      <w:pPr>
        <w:keepLines/>
        <w:spacing w:after="100"/>
        <w:ind w:left="1080" w:hanging="360"/>
      </w:pPr>
      <w:r>
        <w:rPr>
          <w:rFonts w:ascii="Arial" w:cs="Arial" w:eastAsia="Arial" w:hAnsi="Arial"/>
          <w:color w:val="17181A"/>
          <w:sz w:val="20"/>
          <w:szCs w:val="20"/>
        </w:rPr>
        <w:t xml:space="preserve">7. ASTM D7234 — Pull-Off Adhesion Strength of Coatings on Concrete.</w:t>
      </w:r>
    </w:p>
    <w:p>
      <w:pPr>
        <w:keepLines/>
        <w:spacing w:after="100"/>
        <w:ind w:left="720" w:hanging="360"/>
      </w:pPr>
      <w:r>
        <w:rPr>
          <w:rFonts w:ascii="Arial" w:cs="Arial" w:eastAsia="Arial" w:hAnsi="Arial"/>
          <w:color w:val="17181A"/>
          <w:sz w:val="20"/>
          <w:szCs w:val="20"/>
        </w:rPr>
        <w:t xml:space="preserve">B. DIN 1048 — Testing Concrete: Water Penetration.</w:t>
      </w:r>
    </w:p>
    <w:p>
      <w:pPr>
        <w:keepLines/>
        <w:spacing w:after="100"/>
        <w:ind w:left="720" w:hanging="360"/>
      </w:pPr>
      <w:r>
        <w:rPr>
          <w:rFonts w:ascii="Arial" w:cs="Arial" w:eastAsia="Arial" w:hAnsi="Arial"/>
          <w:color w:val="17181A"/>
          <w:sz w:val="20"/>
          <w:szCs w:val="20"/>
        </w:rPr>
        <w:t xml:space="preserve">C. Alberta Transportation B388 — Concrete Sealer Performance.</w:t>
      </w:r>
    </w:p>
    <w:p>
      <w:pPr>
        <w:keepLines/>
        <w:spacing w:after="100"/>
        <w:ind w:left="720" w:hanging="360"/>
      </w:pPr>
      <w:r>
        <w:rPr>
          <w:rFonts w:ascii="Arial" w:cs="Arial" w:eastAsia="Arial" w:hAnsi="Arial"/>
          <w:color w:val="17181A"/>
          <w:sz w:val="20"/>
          <w:szCs w:val="20"/>
        </w:rPr>
        <w:t xml:space="preserve">D. USGBC LEED Version 4, BD&amp;C and ID&amp;C; The WELL Building Standard; ANSI/GBI 01 Green Building Assessment Protocol.</w:t>
      </w:r>
    </w:p>
    <w:p>
      <w:pPr>
        <w:keepNext/>
        <w:keepLines/>
        <w:spacing w:after="120" w:before="280"/>
      </w:pPr>
      <w:r>
        <w:rPr>
          <w:rFonts w:ascii="Arial" w:cs="Arial" w:eastAsia="Arial" w:hAnsi="Arial"/>
          <w:b/>
          <w:bCs/>
          <w:color w:val="17181A"/>
          <w:sz w:val="20"/>
          <w:szCs w:val="20"/>
        </w:rPr>
        <w:t xml:space="preserve">1.3  SUBMITTALS</w:t>
      </w:r>
    </w:p>
    <w:p>
      <w:pPr>
        <w:keepLines/>
        <w:spacing w:after="100"/>
        <w:ind w:left="720" w:hanging="360"/>
      </w:pPr>
      <w:r>
        <w:rPr>
          <w:rFonts w:ascii="Arial" w:cs="Arial" w:eastAsia="Arial" w:hAnsi="Arial"/>
          <w:color w:val="17181A"/>
          <w:sz w:val="20"/>
          <w:szCs w:val="20"/>
        </w:rPr>
        <w:t xml:space="preserve">A. Product Data: Manufacturer's specifications and technical data including product description, attributes, spread rates, application instructions, and storage requirements.</w:t>
      </w:r>
    </w:p>
    <w:p>
      <w:pPr>
        <w:keepLines/>
        <w:spacing w:after="100"/>
        <w:ind w:left="720" w:hanging="360"/>
      </w:pPr>
      <w:r>
        <w:rPr>
          <w:rFonts w:ascii="Arial" w:cs="Arial" w:eastAsia="Arial" w:hAnsi="Arial"/>
          <w:color w:val="17181A"/>
          <w:sz w:val="20"/>
          <w:szCs w:val="20"/>
        </w:rPr>
        <w:t xml:space="preserve">B. Test Reports: Test data demonstrating compliance with performance criteria specified in Article 2.3.</w:t>
      </w:r>
    </w:p>
    <w:p>
      <w:pPr>
        <w:keepLines/>
        <w:spacing w:after="100"/>
        <w:ind w:left="720" w:hanging="360"/>
      </w:pPr>
      <w:r>
        <w:rPr>
          <w:rFonts w:ascii="Arial" w:cs="Arial" w:eastAsia="Arial" w:hAnsi="Arial"/>
          <w:color w:val="17181A"/>
          <w:sz w:val="20"/>
          <w:szCs w:val="20"/>
        </w:rPr>
        <w:t xml:space="preserve">C. Safety Data Sheets (SDS).</w:t>
      </w:r>
    </w:p>
    <w:p>
      <w:pPr>
        <w:keepLines/>
        <w:spacing w:after="100"/>
        <w:ind w:left="720" w:hanging="360"/>
      </w:pPr>
      <w:r>
        <w:rPr>
          <w:rFonts w:ascii="Arial" w:cs="Arial" w:eastAsia="Arial" w:hAnsi="Arial"/>
          <w:color w:val="17181A"/>
          <w:sz w:val="20"/>
          <w:szCs w:val="20"/>
        </w:rPr>
        <w:t xml:space="preserve">D. Warranty: Sample copy of manufacturer's 25-year limited product warranty.</w:t>
      </w:r>
    </w:p>
    <w:p>
      <w:pPr>
        <w:keepNext/>
        <w:keepLines/>
        <w:pageBreakBefore/>
        <w:spacing w:after="120" w:before="280"/>
      </w:pPr>
      <w:r>
        <w:rPr>
          <w:rFonts w:ascii="Arial" w:cs="Arial" w:eastAsia="Arial" w:hAnsi="Arial"/>
          <w:b/>
          <w:bCs/>
          <w:color w:val="17181A"/>
          <w:sz w:val="20"/>
          <w:szCs w:val="20"/>
        </w:rPr>
        <w:t xml:space="preserve">1.4  QUALITY ASSURANCE</w:t>
      </w:r>
    </w:p>
    <w:p>
      <w:pPr>
        <w:keepLines/>
        <w:spacing w:after="100"/>
        <w:ind w:left="720" w:hanging="360"/>
      </w:pPr>
      <w:r>
        <w:rPr>
          <w:rFonts w:ascii="Arial" w:cs="Arial" w:eastAsia="Arial" w:hAnsi="Arial"/>
          <w:color w:val="17181A"/>
          <w:sz w:val="20"/>
          <w:szCs w:val="20"/>
        </w:rPr>
        <w:t xml:space="preserve">A. Manufacturer Qualifications: Company specializing in the manufacture of penetrating concrete densifiers and moisture mitigation products.</w:t>
      </w:r>
    </w:p>
    <w:p>
      <w:pPr>
        <w:keepLines/>
        <w:spacing w:after="100"/>
        <w:ind w:left="720" w:hanging="360"/>
      </w:pPr>
      <w:r>
        <w:rPr>
          <w:rFonts w:ascii="Arial" w:cs="Arial" w:eastAsia="Arial" w:hAnsi="Arial"/>
          <w:color w:val="17181A"/>
          <w:sz w:val="20"/>
          <w:szCs w:val="20"/>
        </w:rPr>
        <w:t xml:space="preserve">B. Field Sample (Mockup): Apply densifier to a minimum 100 sq. ft. test area of representative substrate to confirm spread rate, appearance, and drying time. Approved test area may remain as part of the Work.</w:t>
      </w:r>
    </w:p>
    <w:p>
      <w:pPr>
        <w:keepNext/>
        <w:keepLines/>
        <w:spacing w:after="120" w:before="280"/>
      </w:pPr>
      <w:r>
        <w:rPr>
          <w:rFonts w:ascii="Arial" w:cs="Arial" w:eastAsia="Arial" w:hAnsi="Arial"/>
          <w:b/>
          <w:bCs/>
          <w:color w:val="17181A"/>
          <w:sz w:val="20"/>
          <w:szCs w:val="20"/>
        </w:rPr>
        <w:t xml:space="preserve">1.5  DELIVERY, STORAGE, AND HANDLING</w:t>
      </w:r>
    </w:p>
    <w:p>
      <w:pPr>
        <w:keepLines/>
        <w:spacing w:after="100"/>
        <w:ind w:left="720" w:hanging="360"/>
      </w:pPr>
      <w:r>
        <w:rPr>
          <w:rFonts w:ascii="Arial" w:cs="Arial" w:eastAsia="Arial" w:hAnsi="Arial"/>
          <w:color w:val="17181A"/>
          <w:sz w:val="20"/>
          <w:szCs w:val="20"/>
        </w:rPr>
        <w:t xml:space="preserve">A. Deliver materials in original, unopened containers with manufacturer's labels intact.</w:t>
      </w:r>
    </w:p>
    <w:p>
      <w:pPr>
        <w:keepLines/>
        <w:spacing w:after="100"/>
        <w:ind w:left="720" w:hanging="360"/>
      </w:pPr>
      <w:r>
        <w:rPr>
          <w:rFonts w:ascii="Arial" w:cs="Arial" w:eastAsia="Arial" w:hAnsi="Arial"/>
          <w:color w:val="17181A"/>
          <w:sz w:val="20"/>
          <w:szCs w:val="20"/>
        </w:rPr>
        <w:t xml:space="preserve">B. Store in conditions above freezing (32°F) and below 90°F.</w:t>
      </w:r>
    </w:p>
    <w:p>
      <w:pPr>
        <w:keepLines/>
        <w:spacing w:after="100"/>
        <w:ind w:left="720" w:hanging="360"/>
      </w:pPr>
      <w:r>
        <w:rPr>
          <w:rFonts w:ascii="Arial" w:cs="Arial" w:eastAsia="Arial" w:hAnsi="Arial"/>
          <w:color w:val="17181A"/>
          <w:sz w:val="20"/>
          <w:szCs w:val="20"/>
        </w:rPr>
        <w:t xml:space="preserve">C. Shelf Life: 2 years in original sealed container.</w:t>
      </w:r>
    </w:p>
    <w:p>
      <w:pPr>
        <w:keepNext/>
        <w:keepLines/>
        <w:spacing w:after="120" w:before="280"/>
      </w:pPr>
      <w:r>
        <w:rPr>
          <w:rFonts w:ascii="Arial" w:cs="Arial" w:eastAsia="Arial" w:hAnsi="Arial"/>
          <w:b/>
          <w:bCs/>
          <w:color w:val="17181A"/>
          <w:sz w:val="20"/>
          <w:szCs w:val="20"/>
        </w:rPr>
        <w:t xml:space="preserve">1.6  PROJECT CONDITIONS</w:t>
      </w:r>
    </w:p>
    <w:p>
      <w:pPr>
        <w:keepLines/>
        <w:spacing w:after="100"/>
        <w:ind w:left="720" w:hanging="360"/>
      </w:pPr>
      <w:r>
        <w:rPr>
          <w:rFonts w:ascii="Arial" w:cs="Arial" w:eastAsia="Arial" w:hAnsi="Arial"/>
          <w:color w:val="17181A"/>
          <w:sz w:val="20"/>
          <w:szCs w:val="20"/>
        </w:rPr>
        <w:t xml:space="preserve">A. Substrate shall be clean and porous. Existing coatings shall be mechanically removed prior to application.</w:t>
      </w:r>
    </w:p>
    <w:p>
      <w:pPr>
        <w:keepLines/>
        <w:spacing w:after="100"/>
        <w:ind w:left="720" w:hanging="360"/>
      </w:pPr>
      <w:r>
        <w:rPr>
          <w:rFonts w:ascii="Arial" w:cs="Arial" w:eastAsia="Arial" w:hAnsi="Arial"/>
          <w:color w:val="17181A"/>
          <w:sz w:val="20"/>
          <w:szCs w:val="20"/>
        </w:rPr>
        <w:t xml:space="preserve">B. Freshly poured concrete shall be hard enough for foot traffic prior to application.</w:t>
      </w:r>
    </w:p>
    <w:p>
      <w:pPr>
        <w:keepLines/>
        <w:spacing w:after="100"/>
        <w:ind w:left="720" w:hanging="360"/>
      </w:pPr>
      <w:r>
        <w:rPr>
          <w:rFonts w:ascii="Arial" w:cs="Arial" w:eastAsia="Arial" w:hAnsi="Arial"/>
          <w:color w:val="17181A"/>
          <w:sz w:val="20"/>
          <w:szCs w:val="20"/>
        </w:rPr>
        <w:t xml:space="preserve">C. Protect adjacent finished surfaces from overspray; excessive overspray may discolor surfaces.</w:t>
      </w:r>
    </w:p>
    <w:p>
      <w:pPr>
        <w:keepNext/>
        <w:keepLines/>
        <w:spacing w:after="120" w:before="280"/>
      </w:pPr>
      <w:r>
        <w:rPr>
          <w:rFonts w:ascii="Arial" w:cs="Arial" w:eastAsia="Arial" w:hAnsi="Arial"/>
          <w:b/>
          <w:bCs/>
          <w:color w:val="17181A"/>
          <w:sz w:val="20"/>
          <w:szCs w:val="20"/>
        </w:rPr>
        <w:t xml:space="preserve">1.7  WARRANTY</w:t>
      </w:r>
    </w:p>
    <w:p>
      <w:pPr>
        <w:keepLines/>
        <w:spacing w:after="100"/>
        <w:ind w:left="720" w:hanging="360"/>
      </w:pPr>
      <w:r>
        <w:rPr>
          <w:rFonts w:ascii="Arial" w:cs="Arial" w:eastAsia="Arial" w:hAnsi="Arial"/>
          <w:color w:val="17181A"/>
          <w:sz w:val="20"/>
          <w:szCs w:val="20"/>
        </w:rPr>
        <w:t xml:space="preserve">A. Manufacturer's Warranty: 25-year limited product warranty stating that the treated surface will remain water-resistant, dustproof, hardened, and abrasion resistant for 25 years from the application date.</w:t>
      </w:r>
    </w:p>
    <w:p>
      <w:pPr>
        <w:keepNext/>
        <w:keepLines/>
        <w:pBdr>
          <w:bottom w:val="single" w:color="C8102E" w:sz="8" w:space="2"/>
        </w:pBdr>
        <w:spacing w:after="170" w:before="380"/>
      </w:pPr>
      <w:r>
        <w:rPr>
          <w:rFonts w:ascii="Arial" w:cs="Arial" w:eastAsia="Arial" w:hAnsi="Arial"/>
          <w:b/>
          <w:bCs/>
          <w:color w:val="C8102E"/>
          <w:sz w:val="22"/>
          <w:szCs w:val="22"/>
        </w:rPr>
        <w:t xml:space="preserve">PART 2 — PRODUCTS</w:t>
      </w:r>
    </w:p>
    <w:p>
      <w:pPr>
        <w:keepNext/>
        <w:keepLines/>
        <w:spacing w:after="120" w:before="280"/>
      </w:pPr>
      <w:r>
        <w:rPr>
          <w:rFonts w:ascii="Arial" w:cs="Arial" w:eastAsia="Arial" w:hAnsi="Arial"/>
          <w:b/>
          <w:bCs/>
          <w:color w:val="17181A"/>
          <w:sz w:val="20"/>
          <w:szCs w:val="20"/>
        </w:rPr>
        <w:t xml:space="preserve">2.1  MANUFACTURER</w:t>
      </w:r>
    </w:p>
    <w:p>
      <w:pPr>
        <w:keepLines/>
        <w:spacing w:after="100"/>
        <w:ind w:left="720" w:hanging="360"/>
      </w:pPr>
      <w:r>
        <w:rPr>
          <w:rFonts w:ascii="Arial" w:cs="Arial" w:eastAsia="Arial" w:hAnsi="Arial"/>
          <w:color w:val="17181A"/>
          <w:sz w:val="20"/>
          <w:szCs w:val="20"/>
        </w:rPr>
        <w:t xml:space="preserve">A. Basis of Design: Bone Dry Products, Inc.; 9009 58th Pl, Kenosha, WI 53144; Phone: 262-694-9748; Email: info@bonedryproducts.com; Web: bonedryproducts.com.</w:t>
      </w:r>
    </w:p>
    <w:p>
      <w:pPr>
        <w:keepLines/>
        <w:spacing w:after="100"/>
        <w:ind w:left="720" w:hanging="360"/>
      </w:pPr>
      <w:r>
        <w:rPr>
          <w:rFonts w:ascii="Arial" w:cs="Arial" w:eastAsia="Arial" w:hAnsi="Arial"/>
          <w:color w:val="17181A"/>
          <w:sz w:val="20"/>
          <w:szCs w:val="20"/>
        </w:rPr>
        <w:t xml:space="preserve">B. Substitutions: [Not permitted.] [Submit in accordance with Section 01 25 00 — Substitution Procedures.]</w:t>
      </w:r>
    </w:p>
    <w:p>
      <w:pPr>
        <w:keepNext/>
        <w:keepLines/>
        <w:spacing w:after="120" w:before="280"/>
      </w:pPr>
      <w:r>
        <w:rPr>
          <w:rFonts w:ascii="Arial" w:cs="Arial" w:eastAsia="Arial" w:hAnsi="Arial"/>
          <w:b/>
          <w:bCs/>
          <w:color w:val="17181A"/>
          <w:sz w:val="20"/>
          <w:szCs w:val="20"/>
        </w:rPr>
        <w:t xml:space="preserve">2.2  MATERIALS</w:t>
      </w:r>
    </w:p>
    <w:p>
      <w:pPr>
        <w:keepLines/>
        <w:spacing w:after="100"/>
        <w:ind w:left="720" w:hanging="360"/>
      </w:pPr>
      <w:r>
        <w:rPr>
          <w:rFonts w:ascii="Arial" w:cs="Arial" w:eastAsia="Arial" w:hAnsi="Arial"/>
          <w:color w:val="17181A"/>
          <w:sz w:val="20"/>
          <w:szCs w:val="20"/>
        </w:rPr>
        <w:t xml:space="preserve">A. Penetrating Densifier: Bone Dry Li 200 Logistics — high-solid-content lithium silicate and nano silica densifying solution formulated to penetrate deep into concrete and dry clear without brooming or removal after application. Product is not membrane-forming and is intended to densify exposed concrete surfaces.</w:t>
      </w:r>
    </w:p>
    <w:p>
      <w:pPr>
        <w:keepLines/>
        <w:spacing w:after="100"/>
        <w:ind w:left="720" w:hanging="360"/>
      </w:pPr>
      <w:r>
        <w:rPr>
          <w:rFonts w:ascii="Arial" w:cs="Arial" w:eastAsia="Arial" w:hAnsi="Arial"/>
          <w:color w:val="17181A"/>
          <w:sz w:val="20"/>
          <w:szCs w:val="20"/>
        </w:rPr>
        <w:t xml:space="preserve">B. Physical Characteristics:</w:t>
      </w:r>
    </w:p>
    <w:p>
      <w:pPr>
        <w:keepLines/>
        <w:spacing w:after="100"/>
        <w:ind w:left="1080" w:hanging="360"/>
      </w:pPr>
      <w:r>
        <w:rPr>
          <w:rFonts w:ascii="Arial" w:cs="Arial" w:eastAsia="Arial" w:hAnsi="Arial"/>
          <w:color w:val="17181A"/>
          <w:sz w:val="20"/>
          <w:szCs w:val="20"/>
        </w:rPr>
        <w:t xml:space="preserve">1. Water based; VOC content: less than 1 g/L (calculated from formulation raw material data).</w:t>
      </w:r>
    </w:p>
    <w:p>
      <w:pPr>
        <w:keepLines/>
        <w:spacing w:after="100"/>
        <w:ind w:left="1080" w:hanging="360"/>
      </w:pPr>
      <w:r>
        <w:rPr>
          <w:rFonts w:ascii="Arial" w:cs="Arial" w:eastAsia="Arial" w:hAnsi="Arial"/>
          <w:color w:val="17181A"/>
          <w:sz w:val="20"/>
          <w:szCs w:val="20"/>
        </w:rPr>
        <w:t xml:space="preserve">2. Suitable for interior and exterior use.</w:t>
      </w:r>
    </w:p>
    <w:p>
      <w:pPr>
        <w:keepLines/>
        <w:spacing w:after="100"/>
        <w:ind w:left="1080" w:hanging="360"/>
      </w:pPr>
      <w:r>
        <w:rPr>
          <w:rFonts w:ascii="Arial" w:cs="Arial" w:eastAsia="Arial" w:hAnsi="Arial"/>
          <w:color w:val="17181A"/>
          <w:sz w:val="20"/>
          <w:szCs w:val="20"/>
        </w:rPr>
        <w:t xml:space="preserve">3. Breathable and UV stable.</w:t>
      </w:r>
    </w:p>
    <w:p>
      <w:pPr>
        <w:keepLines/>
        <w:spacing w:after="100"/>
        <w:ind w:left="1080" w:hanging="360"/>
      </w:pPr>
      <w:r>
        <w:rPr>
          <w:rFonts w:ascii="Arial" w:cs="Arial" w:eastAsia="Arial" w:hAnsi="Arial"/>
          <w:color w:val="17181A"/>
          <w:sz w:val="20"/>
          <w:szCs w:val="20"/>
        </w:rPr>
        <w:t xml:space="preserve">4. Compatible with reactive and resin bond breakers.</w:t>
      </w:r>
    </w:p>
    <w:p>
      <w:pPr>
        <w:keepLines/>
        <w:spacing w:after="100"/>
        <w:ind w:left="720" w:hanging="360"/>
      </w:pPr>
      <w:r>
        <w:rPr>
          <w:rFonts w:ascii="Arial" w:cs="Arial" w:eastAsia="Arial" w:hAnsi="Arial"/>
          <w:color w:val="17181A"/>
          <w:sz w:val="20"/>
          <w:szCs w:val="20"/>
        </w:rPr>
        <w:t xml:space="preserve">C. Performance Attributes: Densifies and hardens concrete; eliminates dusting; improves water and stain resistance; protects against efflorescence (ASR); increases abrasion resistance; fills microcracks and increases sheen; increases compression strength; assists in evenly curing the concrete slab in the same manner as a curing compound.</w:t>
      </w:r>
    </w:p>
    <w:p>
      <w:pPr>
        <w:keepNext/>
        <w:keepLines/>
        <w:pageBreakBefore/>
        <w:spacing w:after="120" w:before="280"/>
      </w:pPr>
      <w:r>
        <w:rPr>
          <w:rFonts w:ascii="Arial" w:cs="Arial" w:eastAsia="Arial" w:hAnsi="Arial"/>
          <w:b/>
          <w:bCs/>
          <w:color w:val="17181A"/>
          <w:sz w:val="20"/>
          <w:szCs w:val="20"/>
        </w:rPr>
        <w:t xml:space="preserve">2.3  PERFORMANCE CRITERIA</w:t>
      </w:r>
    </w:p>
    <w:p>
      <w:pPr>
        <w:keepLines/>
        <w:spacing w:after="100"/>
        <w:ind w:left="720" w:hanging="360"/>
      </w:pPr>
      <w:r>
        <w:rPr>
          <w:rFonts w:ascii="Arial" w:cs="Arial" w:eastAsia="Arial" w:hAnsi="Arial"/>
          <w:color w:val="17181A"/>
          <w:sz w:val="20"/>
          <w:szCs w:val="20"/>
        </w:rPr>
        <w:t xml:space="preserve">A. Densifier shall demonstrate the following performance when tested per the referenced standards:</w:t>
      </w:r>
    </w:p>
    <w:tbl>
      <w:tblPr>
        <w:tblW w:type="dxa" w:w="9360"/>
        <w:tblBorders>
          <w:top w:val="single" w:color="17181A" w:sz="6"/>
          <w:left w:val="single" w:color="D9D9D5" w:sz="4"/>
          <w:bottom w:val="single" w:color="17181A" w:sz="6"/>
          <w:right w:val="single" w:color="D9D9D5" w:sz="4"/>
          <w:insideH w:val="single" w:color="D9D9D5" w:sz="4"/>
          <w:insideV w:val="single" w:color="D9D9D5" w:sz="4"/>
        </w:tblBorders>
      </w:tblPr>
      <w:tblGrid>
        <w:gridCol w:w="2000"/>
        <w:gridCol w:w="2900"/>
        <w:gridCol w:w="1700"/>
        <w:gridCol w:w="2760"/>
      </w:tblGrid>
      <w:tr>
        <w:trPr>
          <w:cantSplit/>
          <w:tblHeader/>
        </w:trPr>
        <w:tc>
          <w:tcPr>
            <w:tcW w:type="dxa" w:w="2000"/>
            <w:shd w:fill="EFEFED" w:val="clear"/>
            <w:tcMar>
              <w:top w:type="dxa" w:w="80"/>
              <w:left w:type="dxa" w:w="110"/>
              <w:bottom w:type="dxa" w:w="80"/>
              <w:right w:type="dxa" w:w="110"/>
            </w:tcMar>
            <w:vAlign w:val="center"/>
          </w:tcPr>
          <w:p>
            <w:r>
              <w:rPr>
                <w:rFonts w:ascii="Arial" w:cs="Arial" w:eastAsia="Arial" w:hAnsi="Arial"/>
                <w:b/>
                <w:bCs/>
                <w:color w:val="17181A"/>
                <w:sz w:val="18"/>
                <w:szCs w:val="18"/>
              </w:rPr>
              <w:t xml:space="preserve">Test Method</w:t>
            </w:r>
          </w:p>
        </w:tc>
        <w:tc>
          <w:tcPr>
            <w:tcW w:type="dxa" w:w="2900"/>
            <w:shd w:fill="EFEFED" w:val="clear"/>
            <w:tcMar>
              <w:top w:type="dxa" w:w="80"/>
              <w:left w:type="dxa" w:w="110"/>
              <w:bottom w:type="dxa" w:w="80"/>
              <w:right w:type="dxa" w:w="110"/>
            </w:tcMar>
            <w:vAlign w:val="center"/>
          </w:tcPr>
          <w:p>
            <w:r>
              <w:rPr>
                <w:rFonts w:ascii="Arial" w:cs="Arial" w:eastAsia="Arial" w:hAnsi="Arial"/>
                <w:b/>
                <w:bCs/>
                <w:color w:val="17181A"/>
                <w:sz w:val="18"/>
                <w:szCs w:val="18"/>
              </w:rPr>
              <w:t xml:space="preserve">Property</w:t>
            </w:r>
          </w:p>
        </w:tc>
        <w:tc>
          <w:tcPr>
            <w:tcW w:type="dxa" w:w="1700"/>
            <w:shd w:fill="EFEFED" w:val="clear"/>
            <w:tcMar>
              <w:top w:type="dxa" w:w="80"/>
              <w:left w:type="dxa" w:w="110"/>
              <w:bottom w:type="dxa" w:w="80"/>
              <w:right w:type="dxa" w:w="110"/>
            </w:tcMar>
            <w:vAlign w:val="center"/>
          </w:tcPr>
          <w:p>
            <w:r>
              <w:rPr>
                <w:rFonts w:ascii="Arial" w:cs="Arial" w:eastAsia="Arial" w:hAnsi="Arial"/>
                <w:b/>
                <w:bCs/>
                <w:color w:val="17181A"/>
                <w:sz w:val="18"/>
                <w:szCs w:val="18"/>
              </w:rPr>
              <w:t xml:space="preserve">Duration / Age</w:t>
            </w:r>
          </w:p>
        </w:tc>
        <w:tc>
          <w:tcPr>
            <w:tcW w:type="dxa" w:w="2760"/>
            <w:shd w:fill="EFEFED" w:val="clear"/>
            <w:tcMar>
              <w:top w:type="dxa" w:w="80"/>
              <w:left w:type="dxa" w:w="110"/>
              <w:bottom w:type="dxa" w:w="80"/>
              <w:right w:type="dxa" w:w="110"/>
            </w:tcMar>
            <w:vAlign w:val="center"/>
          </w:tcPr>
          <w:p>
            <w:r>
              <w:rPr>
                <w:rFonts w:ascii="Arial" w:cs="Arial" w:eastAsia="Arial" w:hAnsi="Arial"/>
                <w:b/>
                <w:bCs/>
                <w:color w:val="17181A"/>
                <w:sz w:val="18"/>
                <w:szCs w:val="18"/>
              </w:rPr>
              <w:t xml:space="preserve">Result — Li 200 Logistics</w:t>
            </w:r>
          </w:p>
        </w:tc>
      </w:tr>
      <w:tr>
        <w:trPr>
          <w:cantSplit/>
        </w:trPr>
        <w:tc>
          <w:tcPr>
            <w:tcW w:type="dxa" w:w="2000"/>
            <w:tcMar>
              <w:top w:type="dxa" w:w="80"/>
              <w:left w:type="dxa" w:w="110"/>
              <w:bottom w:type="dxa" w:w="80"/>
              <w:right w:type="dxa" w:w="110"/>
            </w:tcMar>
            <w:vAlign w:val="center"/>
          </w:tcPr>
          <w:p>
            <w:r>
              <w:rPr>
                <w:rFonts w:ascii="Arial" w:cs="Arial" w:eastAsia="Arial" w:hAnsi="Arial"/>
                <w:b w:val="false"/>
                <w:bCs w:val="false"/>
                <w:color w:val="17181A"/>
                <w:sz w:val="18"/>
                <w:szCs w:val="18"/>
              </w:rPr>
              <w:t xml:space="preserve">ASTM C672</w:t>
            </w:r>
          </w:p>
        </w:tc>
        <w:tc>
          <w:tcPr>
            <w:tcW w:type="dxa" w:w="2900"/>
            <w:tcMar>
              <w:top w:type="dxa" w:w="80"/>
              <w:left w:type="dxa" w:w="110"/>
              <w:bottom w:type="dxa" w:w="80"/>
              <w:right w:type="dxa" w:w="110"/>
            </w:tcMar>
            <w:vAlign w:val="center"/>
          </w:tcPr>
          <w:p>
            <w:r>
              <w:rPr>
                <w:rFonts w:ascii="Arial" w:cs="Arial" w:eastAsia="Arial" w:hAnsi="Arial"/>
                <w:b w:val="false"/>
                <w:bCs w:val="false"/>
                <w:color w:val="17181A"/>
                <w:sz w:val="18"/>
                <w:szCs w:val="18"/>
              </w:rPr>
              <w:t xml:space="preserve">Scaling resistance (deicing chemicals)</w:t>
            </w:r>
          </w:p>
        </w:tc>
        <w:tc>
          <w:tcPr>
            <w:tcW w:type="dxa" w:w="1700"/>
            <w:tcMar>
              <w:top w:type="dxa" w:w="80"/>
              <w:left w:type="dxa" w:w="110"/>
              <w:bottom w:type="dxa" w:w="80"/>
              <w:right w:type="dxa" w:w="110"/>
            </w:tcMar>
            <w:vAlign w:val="center"/>
          </w:tcPr>
          <w:p>
            <w:r>
              <w:rPr>
                <w:rFonts w:ascii="Arial" w:cs="Arial" w:eastAsia="Arial" w:hAnsi="Arial"/>
                <w:b w:val="false"/>
                <w:bCs w:val="false"/>
                <w:color w:val="17181A"/>
                <w:sz w:val="18"/>
                <w:szCs w:val="18"/>
              </w:rPr>
              <w:t xml:space="preserve">25 cycles</w:t>
            </w:r>
          </w:p>
        </w:tc>
        <w:tc>
          <w:tcPr>
            <w:tcW w:type="dxa" w:w="2760"/>
            <w:tcMar>
              <w:top w:type="dxa" w:w="80"/>
              <w:left w:type="dxa" w:w="110"/>
              <w:bottom w:type="dxa" w:w="80"/>
              <w:right w:type="dxa" w:w="110"/>
            </w:tcMar>
            <w:vAlign w:val="center"/>
          </w:tcPr>
          <w:p>
            <w:r>
              <w:rPr>
                <w:rFonts w:ascii="Arial" w:cs="Arial" w:eastAsia="Arial" w:hAnsi="Arial"/>
                <w:b w:val="false"/>
                <w:bCs w:val="false"/>
                <w:color w:val="17181A"/>
                <w:sz w:val="18"/>
                <w:szCs w:val="18"/>
              </w:rPr>
              <w:t xml:space="preserve">Rating 1 (Very Slight); Control: Rating 3 (Moderate)</w:t>
            </w:r>
          </w:p>
        </w:tc>
      </w:tr>
      <w:tr>
        <w:trPr>
          <w:cantSplit/>
        </w:trPr>
        <w:tc>
          <w:tcPr>
            <w:tcW w:type="dxa" w:w="2000"/>
            <w:tcMar>
              <w:top w:type="dxa" w:w="80"/>
              <w:left w:type="dxa" w:w="110"/>
              <w:bottom w:type="dxa" w:w="80"/>
              <w:right w:type="dxa" w:w="110"/>
            </w:tcMar>
            <w:vAlign w:val="center"/>
          </w:tcPr>
          <w:p>
            <w:r>
              <w:rPr>
                <w:rFonts w:ascii="Arial" w:cs="Arial" w:eastAsia="Arial" w:hAnsi="Arial"/>
                <w:b w:val="false"/>
                <w:bCs w:val="false"/>
                <w:color w:val="17181A"/>
                <w:sz w:val="18"/>
                <w:szCs w:val="18"/>
              </w:rPr>
              <w:t xml:space="preserve">ASTM C672</w:t>
            </w:r>
          </w:p>
        </w:tc>
        <w:tc>
          <w:tcPr>
            <w:tcW w:type="dxa" w:w="2900"/>
            <w:tcMar>
              <w:top w:type="dxa" w:w="80"/>
              <w:left w:type="dxa" w:w="110"/>
              <w:bottom w:type="dxa" w:w="80"/>
              <w:right w:type="dxa" w:w="110"/>
            </w:tcMar>
            <w:vAlign w:val="center"/>
          </w:tcPr>
          <w:p>
            <w:r>
              <w:rPr>
                <w:rFonts w:ascii="Arial" w:cs="Arial" w:eastAsia="Arial" w:hAnsi="Arial"/>
                <w:b w:val="false"/>
                <w:bCs w:val="false"/>
                <w:color w:val="17181A"/>
                <w:sz w:val="18"/>
                <w:szCs w:val="18"/>
              </w:rPr>
              <w:t xml:space="preserve">Scaling resistance (deicing chemicals)</w:t>
            </w:r>
          </w:p>
        </w:tc>
        <w:tc>
          <w:tcPr>
            <w:tcW w:type="dxa" w:w="1700"/>
            <w:tcMar>
              <w:top w:type="dxa" w:w="80"/>
              <w:left w:type="dxa" w:w="110"/>
              <w:bottom w:type="dxa" w:w="80"/>
              <w:right w:type="dxa" w:w="110"/>
            </w:tcMar>
            <w:vAlign w:val="center"/>
          </w:tcPr>
          <w:p>
            <w:r>
              <w:rPr>
                <w:rFonts w:ascii="Arial" w:cs="Arial" w:eastAsia="Arial" w:hAnsi="Arial"/>
                <w:b w:val="false"/>
                <w:bCs w:val="false"/>
                <w:color w:val="17181A"/>
                <w:sz w:val="18"/>
                <w:szCs w:val="18"/>
              </w:rPr>
              <w:t xml:space="preserve">50 cycles</w:t>
            </w:r>
          </w:p>
        </w:tc>
        <w:tc>
          <w:tcPr>
            <w:tcW w:type="dxa" w:w="2760"/>
            <w:tcMar>
              <w:top w:type="dxa" w:w="80"/>
              <w:left w:type="dxa" w:w="110"/>
              <w:bottom w:type="dxa" w:w="80"/>
              <w:right w:type="dxa" w:w="110"/>
            </w:tcMar>
            <w:vAlign w:val="center"/>
          </w:tcPr>
          <w:p>
            <w:r>
              <w:rPr>
                <w:rFonts w:ascii="Arial" w:cs="Arial" w:eastAsia="Arial" w:hAnsi="Arial"/>
                <w:b w:val="false"/>
                <w:bCs w:val="false"/>
                <w:color w:val="17181A"/>
                <w:sz w:val="18"/>
                <w:szCs w:val="18"/>
              </w:rPr>
              <w:t xml:space="preserve">Rating 2 (Slight); Control: Rating 5 (Severe)</w:t>
            </w:r>
          </w:p>
        </w:tc>
      </w:tr>
      <w:tr>
        <w:trPr>
          <w:cantSplit/>
        </w:trPr>
        <w:tc>
          <w:tcPr>
            <w:tcW w:type="dxa" w:w="2000"/>
            <w:tcMar>
              <w:top w:type="dxa" w:w="80"/>
              <w:left w:type="dxa" w:w="110"/>
              <w:bottom w:type="dxa" w:w="80"/>
              <w:right w:type="dxa" w:w="110"/>
            </w:tcMar>
            <w:vAlign w:val="center"/>
          </w:tcPr>
          <w:p>
            <w:r>
              <w:rPr>
                <w:rFonts w:ascii="Arial" w:cs="Arial" w:eastAsia="Arial" w:hAnsi="Arial"/>
                <w:b w:val="false"/>
                <w:bCs w:val="false"/>
                <w:color w:val="17181A"/>
                <w:sz w:val="18"/>
                <w:szCs w:val="18"/>
              </w:rPr>
              <w:t xml:space="preserve">Alberta B388</w:t>
            </w:r>
          </w:p>
        </w:tc>
        <w:tc>
          <w:tcPr>
            <w:tcW w:type="dxa" w:w="2900"/>
            <w:tcMar>
              <w:top w:type="dxa" w:w="80"/>
              <w:left w:type="dxa" w:w="110"/>
              <w:bottom w:type="dxa" w:w="80"/>
              <w:right w:type="dxa" w:w="110"/>
            </w:tcMar>
            <w:vAlign w:val="center"/>
          </w:tcPr>
          <w:p>
            <w:r>
              <w:rPr>
                <w:rFonts w:ascii="Arial" w:cs="Arial" w:eastAsia="Arial" w:hAnsi="Arial"/>
                <w:b w:val="false"/>
                <w:bCs w:val="false"/>
                <w:color w:val="17181A"/>
                <w:sz w:val="18"/>
                <w:szCs w:val="18"/>
              </w:rPr>
              <w:t xml:space="preserve">Water loss</w:t>
            </w:r>
          </w:p>
        </w:tc>
        <w:tc>
          <w:tcPr>
            <w:tcW w:type="dxa" w:w="1700"/>
            <w:tcMar>
              <w:top w:type="dxa" w:w="80"/>
              <w:left w:type="dxa" w:w="110"/>
              <w:bottom w:type="dxa" w:w="80"/>
              <w:right w:type="dxa" w:w="110"/>
            </w:tcMar>
            <w:vAlign w:val="center"/>
          </w:tcPr>
          <w:p>
            <w:r>
              <w:rPr>
                <w:rFonts w:ascii="Arial" w:cs="Arial" w:eastAsia="Arial" w:hAnsi="Arial"/>
                <w:b w:val="false"/>
                <w:bCs w:val="false"/>
                <w:color w:val="17181A"/>
                <w:sz w:val="18"/>
                <w:szCs w:val="18"/>
              </w:rPr>
              <w:t xml:space="preserve">—</w:t>
            </w:r>
          </w:p>
        </w:tc>
        <w:tc>
          <w:tcPr>
            <w:tcW w:type="dxa" w:w="2760"/>
            <w:tcMar>
              <w:top w:type="dxa" w:w="80"/>
              <w:left w:type="dxa" w:w="110"/>
              <w:bottom w:type="dxa" w:w="80"/>
              <w:right w:type="dxa" w:w="110"/>
            </w:tcMar>
            <w:vAlign w:val="center"/>
          </w:tcPr>
          <w:p>
            <w:r>
              <w:rPr>
                <w:rFonts w:ascii="Arial" w:cs="Arial" w:eastAsia="Arial" w:hAnsi="Arial"/>
                <w:b w:val="false"/>
                <w:bCs w:val="false"/>
                <w:color w:val="17181A"/>
                <w:sz w:val="18"/>
                <w:szCs w:val="18"/>
              </w:rPr>
              <w:t xml:space="preserve">79% reduction</w:t>
            </w:r>
          </w:p>
        </w:tc>
      </w:tr>
      <w:tr>
        <w:trPr>
          <w:cantSplit/>
        </w:trPr>
        <w:tc>
          <w:tcPr>
            <w:tcW w:type="dxa" w:w="2000"/>
            <w:tcMar>
              <w:top w:type="dxa" w:w="80"/>
              <w:left w:type="dxa" w:w="110"/>
              <w:bottom w:type="dxa" w:w="80"/>
              <w:right w:type="dxa" w:w="110"/>
            </w:tcMar>
            <w:vAlign w:val="center"/>
          </w:tcPr>
          <w:p>
            <w:r>
              <w:rPr>
                <w:rFonts w:ascii="Arial" w:cs="Arial" w:eastAsia="Arial" w:hAnsi="Arial"/>
                <w:b w:val="false"/>
                <w:bCs w:val="false"/>
                <w:color w:val="17181A"/>
                <w:sz w:val="18"/>
                <w:szCs w:val="18"/>
              </w:rPr>
              <w:t xml:space="preserve">Alberta B388</w:t>
            </w:r>
          </w:p>
        </w:tc>
        <w:tc>
          <w:tcPr>
            <w:tcW w:type="dxa" w:w="2900"/>
            <w:tcMar>
              <w:top w:type="dxa" w:w="80"/>
              <w:left w:type="dxa" w:w="110"/>
              <w:bottom w:type="dxa" w:w="80"/>
              <w:right w:type="dxa" w:w="110"/>
            </w:tcMar>
            <w:vAlign w:val="center"/>
          </w:tcPr>
          <w:p>
            <w:r>
              <w:rPr>
                <w:rFonts w:ascii="Arial" w:cs="Arial" w:eastAsia="Arial" w:hAnsi="Arial"/>
                <w:b w:val="false"/>
                <w:bCs w:val="false"/>
                <w:color w:val="17181A"/>
                <w:sz w:val="18"/>
                <w:szCs w:val="18"/>
              </w:rPr>
              <w:t xml:space="preserve">Waterproofing performance</w:t>
            </w:r>
          </w:p>
        </w:tc>
        <w:tc>
          <w:tcPr>
            <w:tcW w:type="dxa" w:w="1700"/>
            <w:tcMar>
              <w:top w:type="dxa" w:w="80"/>
              <w:left w:type="dxa" w:w="110"/>
              <w:bottom w:type="dxa" w:w="80"/>
              <w:right w:type="dxa" w:w="110"/>
            </w:tcMar>
            <w:vAlign w:val="center"/>
          </w:tcPr>
          <w:p>
            <w:r>
              <w:rPr>
                <w:rFonts w:ascii="Arial" w:cs="Arial" w:eastAsia="Arial" w:hAnsi="Arial"/>
                <w:b w:val="false"/>
                <w:bCs w:val="false"/>
                <w:color w:val="17181A"/>
                <w:sz w:val="18"/>
                <w:szCs w:val="18"/>
              </w:rPr>
              <w:t xml:space="preserve">—</w:t>
            </w:r>
          </w:p>
        </w:tc>
        <w:tc>
          <w:tcPr>
            <w:tcW w:type="dxa" w:w="2760"/>
            <w:tcMar>
              <w:top w:type="dxa" w:w="80"/>
              <w:left w:type="dxa" w:w="110"/>
              <w:bottom w:type="dxa" w:w="80"/>
              <w:right w:type="dxa" w:w="110"/>
            </w:tcMar>
            <w:vAlign w:val="center"/>
          </w:tcPr>
          <w:p>
            <w:r>
              <w:rPr>
                <w:rFonts w:ascii="Arial" w:cs="Arial" w:eastAsia="Arial" w:hAnsi="Arial"/>
                <w:b w:val="false"/>
                <w:bCs w:val="false"/>
                <w:color w:val="17181A"/>
                <w:sz w:val="18"/>
                <w:szCs w:val="18"/>
              </w:rPr>
              <w:t xml:space="preserve">70% increase</w:t>
            </w:r>
          </w:p>
        </w:tc>
      </w:tr>
      <w:tr>
        <w:trPr>
          <w:cantSplit/>
        </w:trPr>
        <w:tc>
          <w:tcPr>
            <w:tcW w:type="dxa" w:w="2000"/>
            <w:tcMar>
              <w:top w:type="dxa" w:w="80"/>
              <w:left w:type="dxa" w:w="110"/>
              <w:bottom w:type="dxa" w:w="80"/>
              <w:right w:type="dxa" w:w="110"/>
            </w:tcMar>
            <w:vAlign w:val="center"/>
          </w:tcPr>
          <w:p>
            <w:r>
              <w:rPr>
                <w:rFonts w:ascii="Arial" w:cs="Arial" w:eastAsia="Arial" w:hAnsi="Arial"/>
                <w:b w:val="false"/>
                <w:bCs w:val="false"/>
                <w:color w:val="17181A"/>
                <w:sz w:val="18"/>
                <w:szCs w:val="18"/>
              </w:rPr>
              <w:t xml:space="preserve">ASTM C39</w:t>
            </w:r>
          </w:p>
        </w:tc>
        <w:tc>
          <w:tcPr>
            <w:tcW w:type="dxa" w:w="2900"/>
            <w:tcMar>
              <w:top w:type="dxa" w:w="80"/>
              <w:left w:type="dxa" w:w="110"/>
              <w:bottom w:type="dxa" w:w="80"/>
              <w:right w:type="dxa" w:w="110"/>
            </w:tcMar>
            <w:vAlign w:val="center"/>
          </w:tcPr>
          <w:p>
            <w:r>
              <w:rPr>
                <w:rFonts w:ascii="Arial" w:cs="Arial" w:eastAsia="Arial" w:hAnsi="Arial"/>
                <w:b w:val="false"/>
                <w:bCs w:val="false"/>
                <w:color w:val="17181A"/>
                <w:sz w:val="18"/>
                <w:szCs w:val="18"/>
              </w:rPr>
              <w:t xml:space="preserve">Compressive strength</w:t>
            </w:r>
          </w:p>
        </w:tc>
        <w:tc>
          <w:tcPr>
            <w:tcW w:type="dxa" w:w="1700"/>
            <w:tcMar>
              <w:top w:type="dxa" w:w="80"/>
              <w:left w:type="dxa" w:w="110"/>
              <w:bottom w:type="dxa" w:w="80"/>
              <w:right w:type="dxa" w:w="110"/>
            </w:tcMar>
            <w:vAlign w:val="center"/>
          </w:tcPr>
          <w:p>
            <w:r>
              <w:rPr>
                <w:rFonts w:ascii="Arial" w:cs="Arial" w:eastAsia="Arial" w:hAnsi="Arial"/>
                <w:b w:val="false"/>
                <w:bCs w:val="false"/>
                <w:color w:val="17181A"/>
                <w:sz w:val="18"/>
                <w:szCs w:val="18"/>
              </w:rPr>
              <w:t xml:space="preserve">4 days</w:t>
            </w:r>
          </w:p>
        </w:tc>
        <w:tc>
          <w:tcPr>
            <w:tcW w:type="dxa" w:w="2760"/>
            <w:tcMar>
              <w:top w:type="dxa" w:w="80"/>
              <w:left w:type="dxa" w:w="110"/>
              <w:bottom w:type="dxa" w:w="80"/>
              <w:right w:type="dxa" w:w="110"/>
            </w:tcMar>
            <w:vAlign w:val="center"/>
          </w:tcPr>
          <w:p>
            <w:r>
              <w:rPr>
                <w:rFonts w:ascii="Arial" w:cs="Arial" w:eastAsia="Arial" w:hAnsi="Arial"/>
                <w:b w:val="false"/>
                <w:bCs w:val="false"/>
                <w:color w:val="17181A"/>
                <w:sz w:val="18"/>
                <w:szCs w:val="18"/>
              </w:rPr>
              <w:t xml:space="preserve">2% increase over control</w:t>
            </w:r>
          </w:p>
        </w:tc>
      </w:tr>
      <w:tr>
        <w:trPr>
          <w:cantSplit/>
        </w:trPr>
        <w:tc>
          <w:tcPr>
            <w:tcW w:type="dxa" w:w="2000"/>
            <w:tcMar>
              <w:top w:type="dxa" w:w="80"/>
              <w:left w:type="dxa" w:w="110"/>
              <w:bottom w:type="dxa" w:w="80"/>
              <w:right w:type="dxa" w:w="110"/>
            </w:tcMar>
            <w:vAlign w:val="center"/>
          </w:tcPr>
          <w:p>
            <w:r>
              <w:rPr>
                <w:rFonts w:ascii="Arial" w:cs="Arial" w:eastAsia="Arial" w:hAnsi="Arial"/>
                <w:b w:val="false"/>
                <w:bCs w:val="false"/>
                <w:color w:val="17181A"/>
                <w:sz w:val="18"/>
                <w:szCs w:val="18"/>
              </w:rPr>
              <w:t xml:space="preserve">ASTM C39</w:t>
            </w:r>
          </w:p>
        </w:tc>
        <w:tc>
          <w:tcPr>
            <w:tcW w:type="dxa" w:w="2900"/>
            <w:tcMar>
              <w:top w:type="dxa" w:w="80"/>
              <w:left w:type="dxa" w:w="110"/>
              <w:bottom w:type="dxa" w:w="80"/>
              <w:right w:type="dxa" w:w="110"/>
            </w:tcMar>
            <w:vAlign w:val="center"/>
          </w:tcPr>
          <w:p>
            <w:r>
              <w:rPr>
                <w:rFonts w:ascii="Arial" w:cs="Arial" w:eastAsia="Arial" w:hAnsi="Arial"/>
                <w:b w:val="false"/>
                <w:bCs w:val="false"/>
                <w:color w:val="17181A"/>
                <w:sz w:val="18"/>
                <w:szCs w:val="18"/>
              </w:rPr>
              <w:t xml:space="preserve">Compressive strength</w:t>
            </w:r>
          </w:p>
        </w:tc>
        <w:tc>
          <w:tcPr>
            <w:tcW w:type="dxa" w:w="1700"/>
            <w:tcMar>
              <w:top w:type="dxa" w:w="80"/>
              <w:left w:type="dxa" w:w="110"/>
              <w:bottom w:type="dxa" w:w="80"/>
              <w:right w:type="dxa" w:w="110"/>
            </w:tcMar>
            <w:vAlign w:val="center"/>
          </w:tcPr>
          <w:p>
            <w:r>
              <w:rPr>
                <w:rFonts w:ascii="Arial" w:cs="Arial" w:eastAsia="Arial" w:hAnsi="Arial"/>
                <w:b w:val="false"/>
                <w:bCs w:val="false"/>
                <w:color w:val="17181A"/>
                <w:sz w:val="18"/>
                <w:szCs w:val="18"/>
              </w:rPr>
              <w:t xml:space="preserve">7 days</w:t>
            </w:r>
          </w:p>
        </w:tc>
        <w:tc>
          <w:tcPr>
            <w:tcW w:type="dxa" w:w="2760"/>
            <w:tcMar>
              <w:top w:type="dxa" w:w="80"/>
              <w:left w:type="dxa" w:w="110"/>
              <w:bottom w:type="dxa" w:w="80"/>
              <w:right w:type="dxa" w:w="110"/>
            </w:tcMar>
            <w:vAlign w:val="center"/>
          </w:tcPr>
          <w:p>
            <w:r>
              <w:rPr>
                <w:rFonts w:ascii="Arial" w:cs="Arial" w:eastAsia="Arial" w:hAnsi="Arial"/>
                <w:b w:val="false"/>
                <w:bCs w:val="false"/>
                <w:color w:val="17181A"/>
                <w:sz w:val="18"/>
                <w:szCs w:val="18"/>
              </w:rPr>
              <w:t xml:space="preserve">12% increase over control</w:t>
            </w:r>
          </w:p>
        </w:tc>
      </w:tr>
      <w:tr>
        <w:trPr>
          <w:cantSplit/>
        </w:trPr>
        <w:tc>
          <w:tcPr>
            <w:tcW w:type="dxa" w:w="2000"/>
            <w:tcMar>
              <w:top w:type="dxa" w:w="80"/>
              <w:left w:type="dxa" w:w="110"/>
              <w:bottom w:type="dxa" w:w="80"/>
              <w:right w:type="dxa" w:w="110"/>
            </w:tcMar>
            <w:vAlign w:val="center"/>
          </w:tcPr>
          <w:p>
            <w:r>
              <w:rPr>
                <w:rFonts w:ascii="Arial" w:cs="Arial" w:eastAsia="Arial" w:hAnsi="Arial"/>
                <w:b w:val="false"/>
                <w:bCs w:val="false"/>
                <w:color w:val="17181A"/>
                <w:sz w:val="18"/>
                <w:szCs w:val="18"/>
              </w:rPr>
              <w:t xml:space="preserve">ASTM C39</w:t>
            </w:r>
          </w:p>
        </w:tc>
        <w:tc>
          <w:tcPr>
            <w:tcW w:type="dxa" w:w="2900"/>
            <w:tcMar>
              <w:top w:type="dxa" w:w="80"/>
              <w:left w:type="dxa" w:w="110"/>
              <w:bottom w:type="dxa" w:w="80"/>
              <w:right w:type="dxa" w:w="110"/>
            </w:tcMar>
            <w:vAlign w:val="center"/>
          </w:tcPr>
          <w:p>
            <w:r>
              <w:rPr>
                <w:rFonts w:ascii="Arial" w:cs="Arial" w:eastAsia="Arial" w:hAnsi="Arial"/>
                <w:b w:val="false"/>
                <w:bCs w:val="false"/>
                <w:color w:val="17181A"/>
                <w:sz w:val="18"/>
                <w:szCs w:val="18"/>
              </w:rPr>
              <w:t xml:space="preserve">Compressive strength</w:t>
            </w:r>
          </w:p>
        </w:tc>
        <w:tc>
          <w:tcPr>
            <w:tcW w:type="dxa" w:w="1700"/>
            <w:tcMar>
              <w:top w:type="dxa" w:w="80"/>
              <w:left w:type="dxa" w:w="110"/>
              <w:bottom w:type="dxa" w:w="80"/>
              <w:right w:type="dxa" w:w="110"/>
            </w:tcMar>
            <w:vAlign w:val="center"/>
          </w:tcPr>
          <w:p>
            <w:r>
              <w:rPr>
                <w:rFonts w:ascii="Arial" w:cs="Arial" w:eastAsia="Arial" w:hAnsi="Arial"/>
                <w:b w:val="false"/>
                <w:bCs w:val="false"/>
                <w:color w:val="17181A"/>
                <w:sz w:val="18"/>
                <w:szCs w:val="18"/>
              </w:rPr>
              <w:t xml:space="preserve">14 days</w:t>
            </w:r>
          </w:p>
        </w:tc>
        <w:tc>
          <w:tcPr>
            <w:tcW w:type="dxa" w:w="2760"/>
            <w:tcMar>
              <w:top w:type="dxa" w:w="80"/>
              <w:left w:type="dxa" w:w="110"/>
              <w:bottom w:type="dxa" w:w="80"/>
              <w:right w:type="dxa" w:w="110"/>
            </w:tcMar>
            <w:vAlign w:val="center"/>
          </w:tcPr>
          <w:p>
            <w:r>
              <w:rPr>
                <w:rFonts w:ascii="Arial" w:cs="Arial" w:eastAsia="Arial" w:hAnsi="Arial"/>
                <w:b w:val="false"/>
                <w:bCs w:val="false"/>
                <w:color w:val="17181A"/>
                <w:sz w:val="18"/>
                <w:szCs w:val="18"/>
              </w:rPr>
              <w:t xml:space="preserve">16% increase over control</w:t>
            </w:r>
          </w:p>
        </w:tc>
      </w:tr>
      <w:tr>
        <w:trPr>
          <w:cantSplit/>
        </w:trPr>
        <w:tc>
          <w:tcPr>
            <w:tcW w:type="dxa" w:w="2000"/>
            <w:tcMar>
              <w:top w:type="dxa" w:w="80"/>
              <w:left w:type="dxa" w:w="110"/>
              <w:bottom w:type="dxa" w:w="80"/>
              <w:right w:type="dxa" w:w="110"/>
            </w:tcMar>
            <w:vAlign w:val="center"/>
          </w:tcPr>
          <w:p>
            <w:r>
              <w:rPr>
                <w:rFonts w:ascii="Arial" w:cs="Arial" w:eastAsia="Arial" w:hAnsi="Arial"/>
                <w:b w:val="false"/>
                <w:bCs w:val="false"/>
                <w:color w:val="17181A"/>
                <w:sz w:val="18"/>
                <w:szCs w:val="18"/>
              </w:rPr>
              <w:t xml:space="preserve">ASTM C39</w:t>
            </w:r>
          </w:p>
        </w:tc>
        <w:tc>
          <w:tcPr>
            <w:tcW w:type="dxa" w:w="2900"/>
            <w:tcMar>
              <w:top w:type="dxa" w:w="80"/>
              <w:left w:type="dxa" w:w="110"/>
              <w:bottom w:type="dxa" w:w="80"/>
              <w:right w:type="dxa" w:w="110"/>
            </w:tcMar>
            <w:vAlign w:val="center"/>
          </w:tcPr>
          <w:p>
            <w:r>
              <w:rPr>
                <w:rFonts w:ascii="Arial" w:cs="Arial" w:eastAsia="Arial" w:hAnsi="Arial"/>
                <w:b w:val="false"/>
                <w:bCs w:val="false"/>
                <w:color w:val="17181A"/>
                <w:sz w:val="18"/>
                <w:szCs w:val="18"/>
              </w:rPr>
              <w:t xml:space="preserve">Compressive strength</w:t>
            </w:r>
          </w:p>
        </w:tc>
        <w:tc>
          <w:tcPr>
            <w:tcW w:type="dxa" w:w="1700"/>
            <w:tcMar>
              <w:top w:type="dxa" w:w="80"/>
              <w:left w:type="dxa" w:w="110"/>
              <w:bottom w:type="dxa" w:w="80"/>
              <w:right w:type="dxa" w:w="110"/>
            </w:tcMar>
            <w:vAlign w:val="center"/>
          </w:tcPr>
          <w:p>
            <w:r>
              <w:rPr>
                <w:rFonts w:ascii="Arial" w:cs="Arial" w:eastAsia="Arial" w:hAnsi="Arial"/>
                <w:b w:val="false"/>
                <w:bCs w:val="false"/>
                <w:color w:val="17181A"/>
                <w:sz w:val="18"/>
                <w:szCs w:val="18"/>
              </w:rPr>
              <w:t xml:space="preserve">28 days</w:t>
            </w:r>
          </w:p>
        </w:tc>
        <w:tc>
          <w:tcPr>
            <w:tcW w:type="dxa" w:w="2760"/>
            <w:tcMar>
              <w:top w:type="dxa" w:w="80"/>
              <w:left w:type="dxa" w:w="110"/>
              <w:bottom w:type="dxa" w:w="80"/>
              <w:right w:type="dxa" w:w="110"/>
            </w:tcMar>
            <w:vAlign w:val="center"/>
          </w:tcPr>
          <w:p>
            <w:r>
              <w:rPr>
                <w:rFonts w:ascii="Arial" w:cs="Arial" w:eastAsia="Arial" w:hAnsi="Arial"/>
                <w:b w:val="false"/>
                <w:bCs w:val="false"/>
                <w:color w:val="17181A"/>
                <w:sz w:val="18"/>
                <w:szCs w:val="18"/>
              </w:rPr>
              <w:t xml:space="preserve">30% increase over control</w:t>
            </w:r>
          </w:p>
        </w:tc>
      </w:tr>
      <w:tr>
        <w:trPr>
          <w:cantSplit/>
        </w:trPr>
        <w:tc>
          <w:tcPr>
            <w:tcW w:type="dxa" w:w="2000"/>
            <w:tcMar>
              <w:top w:type="dxa" w:w="80"/>
              <w:left w:type="dxa" w:w="110"/>
              <w:bottom w:type="dxa" w:w="80"/>
              <w:right w:type="dxa" w:w="110"/>
            </w:tcMar>
            <w:vAlign w:val="center"/>
          </w:tcPr>
          <w:p>
            <w:r>
              <w:rPr>
                <w:rFonts w:ascii="Arial" w:cs="Arial" w:eastAsia="Arial" w:hAnsi="Arial"/>
                <w:b w:val="false"/>
                <w:bCs w:val="false"/>
                <w:color w:val="17181A"/>
                <w:sz w:val="18"/>
                <w:szCs w:val="18"/>
              </w:rPr>
              <w:t xml:space="preserve">DIN 1048</w:t>
            </w:r>
          </w:p>
        </w:tc>
        <w:tc>
          <w:tcPr>
            <w:tcW w:type="dxa" w:w="2900"/>
            <w:tcMar>
              <w:top w:type="dxa" w:w="80"/>
              <w:left w:type="dxa" w:w="110"/>
              <w:bottom w:type="dxa" w:w="80"/>
              <w:right w:type="dxa" w:w="110"/>
            </w:tcMar>
            <w:vAlign w:val="center"/>
          </w:tcPr>
          <w:p>
            <w:r>
              <w:rPr>
                <w:rFonts w:ascii="Arial" w:cs="Arial" w:eastAsia="Arial" w:hAnsi="Arial"/>
                <w:b w:val="false"/>
                <w:bCs w:val="false"/>
                <w:color w:val="17181A"/>
                <w:sz w:val="18"/>
                <w:szCs w:val="18"/>
              </w:rPr>
              <w:t xml:space="preserve">Water penetration</w:t>
            </w:r>
          </w:p>
        </w:tc>
        <w:tc>
          <w:tcPr>
            <w:tcW w:type="dxa" w:w="1700"/>
            <w:tcMar>
              <w:top w:type="dxa" w:w="80"/>
              <w:left w:type="dxa" w:w="110"/>
              <w:bottom w:type="dxa" w:w="80"/>
              <w:right w:type="dxa" w:w="110"/>
            </w:tcMar>
            <w:vAlign w:val="center"/>
          </w:tcPr>
          <w:p>
            <w:r>
              <w:rPr>
                <w:rFonts w:ascii="Arial" w:cs="Arial" w:eastAsia="Arial" w:hAnsi="Arial"/>
                <w:b w:val="false"/>
                <w:bCs w:val="false"/>
                <w:color w:val="17181A"/>
                <w:sz w:val="18"/>
                <w:szCs w:val="18"/>
              </w:rPr>
              <w:t xml:space="preserve">—</w:t>
            </w:r>
          </w:p>
        </w:tc>
        <w:tc>
          <w:tcPr>
            <w:tcW w:type="dxa" w:w="2760"/>
            <w:tcMar>
              <w:top w:type="dxa" w:w="80"/>
              <w:left w:type="dxa" w:w="110"/>
              <w:bottom w:type="dxa" w:w="80"/>
              <w:right w:type="dxa" w:w="110"/>
            </w:tcMar>
            <w:vAlign w:val="center"/>
          </w:tcPr>
          <w:p>
            <w:r>
              <w:rPr>
                <w:rFonts w:ascii="Arial" w:cs="Arial" w:eastAsia="Arial" w:hAnsi="Arial"/>
                <w:b w:val="false"/>
                <w:bCs w:val="false"/>
                <w:color w:val="17181A"/>
                <w:sz w:val="18"/>
                <w:szCs w:val="18"/>
              </w:rPr>
              <w:t xml:space="preserve">23% improvement</w:t>
            </w:r>
          </w:p>
        </w:tc>
      </w:tr>
      <w:tr>
        <w:trPr>
          <w:cantSplit/>
        </w:trPr>
        <w:tc>
          <w:tcPr>
            <w:tcW w:type="dxa" w:w="2000"/>
            <w:tcMar>
              <w:top w:type="dxa" w:w="80"/>
              <w:left w:type="dxa" w:w="110"/>
              <w:bottom w:type="dxa" w:w="80"/>
              <w:right w:type="dxa" w:w="110"/>
            </w:tcMar>
            <w:vAlign w:val="center"/>
          </w:tcPr>
          <w:p>
            <w:r>
              <w:rPr>
                <w:rFonts w:ascii="Arial" w:cs="Arial" w:eastAsia="Arial" w:hAnsi="Arial"/>
                <w:b w:val="false"/>
                <w:bCs w:val="false"/>
                <w:color w:val="17181A"/>
                <w:sz w:val="18"/>
                <w:szCs w:val="18"/>
              </w:rPr>
              <w:t xml:space="preserve">ASTM C157</w:t>
            </w:r>
          </w:p>
        </w:tc>
        <w:tc>
          <w:tcPr>
            <w:tcW w:type="dxa" w:w="2900"/>
            <w:tcMar>
              <w:top w:type="dxa" w:w="80"/>
              <w:left w:type="dxa" w:w="110"/>
              <w:bottom w:type="dxa" w:w="80"/>
              <w:right w:type="dxa" w:w="110"/>
            </w:tcMar>
            <w:vAlign w:val="center"/>
          </w:tcPr>
          <w:p>
            <w:r>
              <w:rPr>
                <w:rFonts w:ascii="Arial" w:cs="Arial" w:eastAsia="Arial" w:hAnsi="Arial"/>
                <w:b w:val="false"/>
                <w:bCs w:val="false"/>
                <w:color w:val="17181A"/>
                <w:sz w:val="18"/>
                <w:szCs w:val="18"/>
              </w:rPr>
              <w:t xml:space="preserve">Length change (drying shrinkage)</w:t>
            </w:r>
          </w:p>
        </w:tc>
        <w:tc>
          <w:tcPr>
            <w:tcW w:type="dxa" w:w="1700"/>
            <w:tcMar>
              <w:top w:type="dxa" w:w="80"/>
              <w:left w:type="dxa" w:w="110"/>
              <w:bottom w:type="dxa" w:w="80"/>
              <w:right w:type="dxa" w:w="110"/>
            </w:tcMar>
            <w:vAlign w:val="center"/>
          </w:tcPr>
          <w:p>
            <w:r>
              <w:rPr>
                <w:rFonts w:ascii="Arial" w:cs="Arial" w:eastAsia="Arial" w:hAnsi="Arial"/>
                <w:b w:val="false"/>
                <w:bCs w:val="false"/>
                <w:color w:val="17181A"/>
                <w:sz w:val="18"/>
                <w:szCs w:val="18"/>
              </w:rPr>
              <w:t xml:space="preserve">—</w:t>
            </w:r>
          </w:p>
        </w:tc>
        <w:tc>
          <w:tcPr>
            <w:tcW w:type="dxa" w:w="2760"/>
            <w:tcMar>
              <w:top w:type="dxa" w:w="80"/>
              <w:left w:type="dxa" w:w="110"/>
              <w:bottom w:type="dxa" w:w="80"/>
              <w:right w:type="dxa" w:w="110"/>
            </w:tcMar>
            <w:vAlign w:val="center"/>
          </w:tcPr>
          <w:p>
            <w:r>
              <w:rPr>
                <w:rFonts w:ascii="Arial" w:cs="Arial" w:eastAsia="Arial" w:hAnsi="Arial"/>
                <w:b w:val="false"/>
                <w:bCs w:val="false"/>
                <w:color w:val="17181A"/>
                <w:sz w:val="18"/>
                <w:szCs w:val="18"/>
              </w:rPr>
              <w:t xml:space="preserve">40% reduction</w:t>
            </w:r>
          </w:p>
        </w:tc>
      </w:tr>
      <w:tr>
        <w:trPr>
          <w:cantSplit/>
        </w:trPr>
        <w:tc>
          <w:tcPr>
            <w:tcW w:type="dxa" w:w="2000"/>
            <w:tcMar>
              <w:top w:type="dxa" w:w="80"/>
              <w:left w:type="dxa" w:w="110"/>
              <w:bottom w:type="dxa" w:w="80"/>
              <w:right w:type="dxa" w:w="110"/>
            </w:tcMar>
            <w:vAlign w:val="center"/>
          </w:tcPr>
          <w:p>
            <w:r>
              <w:rPr>
                <w:rFonts w:ascii="Arial" w:cs="Arial" w:eastAsia="Arial" w:hAnsi="Arial"/>
                <w:b w:val="false"/>
                <w:bCs w:val="false"/>
                <w:color w:val="17181A"/>
                <w:sz w:val="18"/>
                <w:szCs w:val="18"/>
              </w:rPr>
              <w:t xml:space="preserve">ASTM C666</w:t>
            </w:r>
          </w:p>
        </w:tc>
        <w:tc>
          <w:tcPr>
            <w:tcW w:type="dxa" w:w="2900"/>
            <w:tcMar>
              <w:top w:type="dxa" w:w="80"/>
              <w:left w:type="dxa" w:w="110"/>
              <w:bottom w:type="dxa" w:w="80"/>
              <w:right w:type="dxa" w:w="110"/>
            </w:tcMar>
            <w:vAlign w:val="center"/>
          </w:tcPr>
          <w:p>
            <w:r>
              <w:rPr>
                <w:rFonts w:ascii="Arial" w:cs="Arial" w:eastAsia="Arial" w:hAnsi="Arial"/>
                <w:b w:val="false"/>
                <w:bCs w:val="false"/>
                <w:color w:val="17181A"/>
                <w:sz w:val="18"/>
                <w:szCs w:val="18"/>
              </w:rPr>
              <w:t xml:space="preserve">Freeze/thaw resistance</w:t>
            </w:r>
          </w:p>
        </w:tc>
        <w:tc>
          <w:tcPr>
            <w:tcW w:type="dxa" w:w="1700"/>
            <w:tcMar>
              <w:top w:type="dxa" w:w="80"/>
              <w:left w:type="dxa" w:w="110"/>
              <w:bottom w:type="dxa" w:w="80"/>
              <w:right w:type="dxa" w:w="110"/>
            </w:tcMar>
            <w:vAlign w:val="center"/>
          </w:tcPr>
          <w:p>
            <w:r>
              <w:rPr>
                <w:rFonts w:ascii="Arial" w:cs="Arial" w:eastAsia="Arial" w:hAnsi="Arial"/>
                <w:b w:val="false"/>
                <w:bCs w:val="false"/>
                <w:color w:val="17181A"/>
                <w:sz w:val="18"/>
                <w:szCs w:val="18"/>
              </w:rPr>
              <w:t xml:space="preserve">—</w:t>
            </w:r>
          </w:p>
        </w:tc>
        <w:tc>
          <w:tcPr>
            <w:tcW w:type="dxa" w:w="2760"/>
            <w:tcMar>
              <w:top w:type="dxa" w:w="80"/>
              <w:left w:type="dxa" w:w="110"/>
              <w:bottom w:type="dxa" w:w="80"/>
              <w:right w:type="dxa" w:w="110"/>
            </w:tcMar>
            <w:vAlign w:val="center"/>
          </w:tcPr>
          <w:p>
            <w:r>
              <w:rPr>
                <w:rFonts w:ascii="Arial" w:cs="Arial" w:eastAsia="Arial" w:hAnsi="Arial"/>
                <w:b w:val="false"/>
                <w:bCs w:val="false"/>
                <w:color w:val="17181A"/>
                <w:sz w:val="18"/>
                <w:szCs w:val="18"/>
              </w:rPr>
              <w:t xml:space="preserve">48% improvement</w:t>
            </w:r>
          </w:p>
        </w:tc>
      </w:tr>
      <w:tr>
        <w:trPr>
          <w:cantSplit/>
        </w:trPr>
        <w:tc>
          <w:tcPr>
            <w:tcW w:type="dxa" w:w="2000"/>
            <w:tcMar>
              <w:top w:type="dxa" w:w="80"/>
              <w:left w:type="dxa" w:w="110"/>
              <w:bottom w:type="dxa" w:w="80"/>
              <w:right w:type="dxa" w:w="110"/>
            </w:tcMar>
            <w:vAlign w:val="center"/>
          </w:tcPr>
          <w:p>
            <w:r>
              <w:rPr>
                <w:rFonts w:ascii="Arial" w:cs="Arial" w:eastAsia="Arial" w:hAnsi="Arial"/>
                <w:b w:val="false"/>
                <w:bCs w:val="false"/>
                <w:color w:val="17181A"/>
                <w:sz w:val="18"/>
                <w:szCs w:val="18"/>
              </w:rPr>
              <w:t xml:space="preserve">ASTM D7234</w:t>
            </w:r>
          </w:p>
        </w:tc>
        <w:tc>
          <w:tcPr>
            <w:tcW w:type="dxa" w:w="2900"/>
            <w:tcMar>
              <w:top w:type="dxa" w:w="80"/>
              <w:left w:type="dxa" w:w="110"/>
              <w:bottom w:type="dxa" w:w="80"/>
              <w:right w:type="dxa" w:w="110"/>
            </w:tcMar>
            <w:vAlign w:val="center"/>
          </w:tcPr>
          <w:p>
            <w:r>
              <w:rPr>
                <w:rFonts w:ascii="Arial" w:cs="Arial" w:eastAsia="Arial" w:hAnsi="Arial"/>
                <w:b w:val="false"/>
                <w:bCs w:val="false"/>
                <w:color w:val="17181A"/>
                <w:sz w:val="18"/>
                <w:szCs w:val="18"/>
              </w:rPr>
              <w:t xml:space="preserve">Pull-off adhesion</w:t>
            </w:r>
          </w:p>
        </w:tc>
        <w:tc>
          <w:tcPr>
            <w:tcW w:type="dxa" w:w="1700"/>
            <w:tcMar>
              <w:top w:type="dxa" w:w="80"/>
              <w:left w:type="dxa" w:w="110"/>
              <w:bottom w:type="dxa" w:w="80"/>
              <w:right w:type="dxa" w:w="110"/>
            </w:tcMar>
            <w:vAlign w:val="center"/>
          </w:tcPr>
          <w:p>
            <w:r>
              <w:rPr>
                <w:rFonts w:ascii="Arial" w:cs="Arial" w:eastAsia="Arial" w:hAnsi="Arial"/>
                <w:b w:val="false"/>
                <w:bCs w:val="false"/>
                <w:color w:val="17181A"/>
                <w:sz w:val="18"/>
                <w:szCs w:val="18"/>
              </w:rPr>
              <w:t xml:space="preserve">—</w:t>
            </w:r>
          </w:p>
        </w:tc>
        <w:tc>
          <w:tcPr>
            <w:tcW w:type="dxa" w:w="2760"/>
            <w:tcMar>
              <w:top w:type="dxa" w:w="80"/>
              <w:left w:type="dxa" w:w="110"/>
              <w:bottom w:type="dxa" w:w="80"/>
              <w:right w:type="dxa" w:w="110"/>
            </w:tcMar>
            <w:vAlign w:val="center"/>
          </w:tcPr>
          <w:p>
            <w:r>
              <w:rPr>
                <w:rFonts w:ascii="Arial" w:cs="Arial" w:eastAsia="Arial" w:hAnsi="Arial"/>
                <w:b w:val="false"/>
                <w:bCs w:val="false"/>
                <w:color w:val="17181A"/>
                <w:sz w:val="18"/>
                <w:szCs w:val="18"/>
              </w:rPr>
              <w:t xml:space="preserve">650 psi</w:t>
            </w:r>
          </w:p>
        </w:tc>
      </w:tr>
      <w:tr>
        <w:trPr>
          <w:cantSplit/>
        </w:trPr>
        <w:tc>
          <w:tcPr>
            <w:tcW w:type="dxa" w:w="2000"/>
            <w:tcMar>
              <w:top w:type="dxa" w:w="80"/>
              <w:left w:type="dxa" w:w="110"/>
              <w:bottom w:type="dxa" w:w="80"/>
              <w:right w:type="dxa" w:w="110"/>
            </w:tcMar>
            <w:vAlign w:val="center"/>
          </w:tcPr>
          <w:p>
            <w:r>
              <w:rPr>
                <w:rFonts w:ascii="Arial" w:cs="Arial" w:eastAsia="Arial" w:hAnsi="Arial"/>
                <w:b w:val="false"/>
                <w:bCs w:val="false"/>
                <w:color w:val="17181A"/>
                <w:sz w:val="18"/>
                <w:szCs w:val="18"/>
              </w:rPr>
              <w:t xml:space="preserve">ASTM C1543</w:t>
            </w:r>
          </w:p>
        </w:tc>
        <w:tc>
          <w:tcPr>
            <w:tcW w:type="dxa" w:w="2900"/>
            <w:tcMar>
              <w:top w:type="dxa" w:w="80"/>
              <w:left w:type="dxa" w:w="110"/>
              <w:bottom w:type="dxa" w:w="80"/>
              <w:right w:type="dxa" w:w="110"/>
            </w:tcMar>
            <w:vAlign w:val="center"/>
          </w:tcPr>
          <w:p>
            <w:r>
              <w:rPr>
                <w:rFonts w:ascii="Arial" w:cs="Arial" w:eastAsia="Arial" w:hAnsi="Arial"/>
                <w:b w:val="false"/>
                <w:bCs w:val="false"/>
                <w:color w:val="17181A"/>
                <w:sz w:val="18"/>
                <w:szCs w:val="18"/>
              </w:rPr>
              <w:t xml:space="preserve">Chloride ion penetration</w:t>
            </w:r>
          </w:p>
        </w:tc>
        <w:tc>
          <w:tcPr>
            <w:tcW w:type="dxa" w:w="1700"/>
            <w:tcMar>
              <w:top w:type="dxa" w:w="80"/>
              <w:left w:type="dxa" w:w="110"/>
              <w:bottom w:type="dxa" w:w="80"/>
              <w:right w:type="dxa" w:w="110"/>
            </w:tcMar>
            <w:vAlign w:val="center"/>
          </w:tcPr>
          <w:p>
            <w:r>
              <w:rPr>
                <w:rFonts w:ascii="Arial" w:cs="Arial" w:eastAsia="Arial" w:hAnsi="Arial"/>
                <w:b w:val="false"/>
                <w:bCs w:val="false"/>
                <w:color w:val="17181A"/>
                <w:sz w:val="18"/>
                <w:szCs w:val="18"/>
              </w:rPr>
              <w:t xml:space="preserve">at 1 in. depth</w:t>
            </w:r>
          </w:p>
        </w:tc>
        <w:tc>
          <w:tcPr>
            <w:tcW w:type="dxa" w:w="2760"/>
            <w:tcMar>
              <w:top w:type="dxa" w:w="80"/>
              <w:left w:type="dxa" w:w="110"/>
              <w:bottom w:type="dxa" w:w="80"/>
              <w:right w:type="dxa" w:w="110"/>
            </w:tcMar>
            <w:vAlign w:val="center"/>
          </w:tcPr>
          <w:p>
            <w:r>
              <w:rPr>
                <w:rFonts w:ascii="Arial" w:cs="Arial" w:eastAsia="Arial" w:hAnsi="Arial"/>
                <w:b w:val="false"/>
                <w:bCs w:val="false"/>
                <w:color w:val="17181A"/>
                <w:sz w:val="18"/>
                <w:szCs w:val="18"/>
              </w:rPr>
              <w:t xml:space="preserve">0.064%</w:t>
            </w:r>
          </w:p>
        </w:tc>
      </w:tr>
      <w:tr>
        <w:trPr>
          <w:cantSplit/>
        </w:trPr>
        <w:tc>
          <w:tcPr>
            <w:tcW w:type="dxa" w:w="2000"/>
            <w:tcMar>
              <w:top w:type="dxa" w:w="80"/>
              <w:left w:type="dxa" w:w="110"/>
              <w:bottom w:type="dxa" w:w="80"/>
              <w:right w:type="dxa" w:w="110"/>
            </w:tcMar>
            <w:vAlign w:val="center"/>
          </w:tcPr>
          <w:p>
            <w:r>
              <w:rPr>
                <w:rFonts w:ascii="Arial" w:cs="Arial" w:eastAsia="Arial" w:hAnsi="Arial"/>
                <w:b w:val="false"/>
                <w:bCs w:val="false"/>
                <w:color w:val="17181A"/>
                <w:sz w:val="18"/>
                <w:szCs w:val="18"/>
              </w:rPr>
              <w:t xml:space="preserve">ASTM D4060</w:t>
            </w:r>
          </w:p>
        </w:tc>
        <w:tc>
          <w:tcPr>
            <w:tcW w:type="dxa" w:w="2900"/>
            <w:tcMar>
              <w:top w:type="dxa" w:w="80"/>
              <w:left w:type="dxa" w:w="110"/>
              <w:bottom w:type="dxa" w:w="80"/>
              <w:right w:type="dxa" w:w="110"/>
            </w:tcMar>
            <w:vAlign w:val="center"/>
          </w:tcPr>
          <w:p>
            <w:r>
              <w:rPr>
                <w:rFonts w:ascii="Arial" w:cs="Arial" w:eastAsia="Arial" w:hAnsi="Arial"/>
                <w:b w:val="false"/>
                <w:bCs w:val="false"/>
                <w:color w:val="17181A"/>
                <w:sz w:val="18"/>
                <w:szCs w:val="18"/>
              </w:rPr>
              <w:t xml:space="preserve">Taber abrasion resistance</w:t>
            </w:r>
          </w:p>
        </w:tc>
        <w:tc>
          <w:tcPr>
            <w:tcW w:type="dxa" w:w="1700"/>
            <w:tcMar>
              <w:top w:type="dxa" w:w="80"/>
              <w:left w:type="dxa" w:w="110"/>
              <w:bottom w:type="dxa" w:w="80"/>
              <w:right w:type="dxa" w:w="110"/>
            </w:tcMar>
            <w:vAlign w:val="center"/>
          </w:tcPr>
          <w:p>
            <w:r>
              <w:rPr>
                <w:rFonts w:ascii="Arial" w:cs="Arial" w:eastAsia="Arial" w:hAnsi="Arial"/>
                <w:b w:val="false"/>
                <w:bCs w:val="false"/>
                <w:color w:val="17181A"/>
                <w:sz w:val="18"/>
                <w:szCs w:val="18"/>
              </w:rPr>
              <w:t xml:space="preserve">—</w:t>
            </w:r>
          </w:p>
        </w:tc>
        <w:tc>
          <w:tcPr>
            <w:tcW w:type="dxa" w:w="2760"/>
            <w:tcMar>
              <w:top w:type="dxa" w:w="80"/>
              <w:left w:type="dxa" w:w="110"/>
              <w:bottom w:type="dxa" w:w="80"/>
              <w:right w:type="dxa" w:w="110"/>
            </w:tcMar>
            <w:vAlign w:val="center"/>
          </w:tcPr>
          <w:p>
            <w:r>
              <w:rPr>
                <w:rFonts w:ascii="Arial" w:cs="Arial" w:eastAsia="Arial" w:hAnsi="Arial"/>
                <w:b w:val="false"/>
                <w:bCs w:val="false"/>
                <w:color w:val="17181A"/>
                <w:sz w:val="18"/>
                <w:szCs w:val="18"/>
              </w:rPr>
              <w:t xml:space="preserve">29% increase</w:t>
            </w:r>
          </w:p>
        </w:tc>
      </w:tr>
    </w:tbl>
    <w:p>
      <w:pPr>
        <w:spacing w:after="100" w:before="100"/>
      </w:pPr>
      <w:r>
        <w:rPr>
          <w:rFonts w:ascii="Arial" w:cs="Arial" w:eastAsia="Arial" w:hAnsi="Arial"/>
          <w:color w:val="17181A"/>
          <w:sz w:val="20"/>
          <w:szCs w:val="20"/>
        </w:rPr>
        <w:t xml:space="preserve"/>
      </w:r>
    </w:p>
    <w:p>
      <w:pPr>
        <w:keepNext/>
        <w:keepLines/>
        <w:spacing w:after="120" w:before="280"/>
      </w:pPr>
      <w:r>
        <w:rPr>
          <w:rFonts w:ascii="Arial" w:cs="Arial" w:eastAsia="Arial" w:hAnsi="Arial"/>
          <w:b/>
          <w:bCs/>
          <w:color w:val="17181A"/>
          <w:sz w:val="20"/>
          <w:szCs w:val="20"/>
        </w:rPr>
        <w:t xml:space="preserve">2.4  SUSTAINABILITY</w:t>
      </w:r>
    </w:p>
    <w:p>
      <w:pPr>
        <w:keepLines/>
        <w:spacing w:after="100"/>
        <w:ind w:left="720" w:hanging="360"/>
      </w:pPr>
      <w:r>
        <w:rPr>
          <w:rFonts w:ascii="Arial" w:cs="Arial" w:eastAsia="Arial" w:hAnsi="Arial"/>
          <w:color w:val="17181A"/>
          <w:sz w:val="20"/>
          <w:szCs w:val="20"/>
        </w:rPr>
        <w:t xml:space="preserve">A. Product supports USGBC LEED Version 4 (BD&amp;C, ID&amp;C), The WELL Building Standard, and ANSI/GBI 01 Green Building Assessment Protocol.</w:t>
      </w:r>
    </w:p>
    <w:p>
      <w:pPr>
        <w:keepNext/>
        <w:keepLines/>
        <w:pageBreakBefore/>
        <w:pBdr>
          <w:bottom w:val="single" w:color="C8102E" w:sz="8" w:space="2"/>
        </w:pBdr>
        <w:spacing w:after="170" w:before="380"/>
      </w:pPr>
      <w:r>
        <w:rPr>
          <w:rFonts w:ascii="Arial" w:cs="Arial" w:eastAsia="Arial" w:hAnsi="Arial"/>
          <w:b/>
          <w:bCs/>
          <w:color w:val="C8102E"/>
          <w:sz w:val="22"/>
          <w:szCs w:val="22"/>
        </w:rPr>
        <w:t xml:space="preserve">PART 3 — EXECUTION</w:t>
      </w:r>
    </w:p>
    <w:p>
      <w:pPr>
        <w:keepNext/>
        <w:keepLines/>
        <w:spacing w:after="120" w:before="280"/>
      </w:pPr>
      <w:r>
        <w:rPr>
          <w:rFonts w:ascii="Arial" w:cs="Arial" w:eastAsia="Arial" w:hAnsi="Arial"/>
          <w:b/>
          <w:bCs/>
          <w:color w:val="17181A"/>
          <w:sz w:val="20"/>
          <w:szCs w:val="20"/>
        </w:rPr>
        <w:t xml:space="preserve">3.1  EXAMINATION</w:t>
      </w:r>
    </w:p>
    <w:p>
      <w:pPr>
        <w:keepLines/>
        <w:spacing w:after="100"/>
        <w:ind w:left="720" w:hanging="360"/>
      </w:pPr>
      <w:r>
        <w:rPr>
          <w:rFonts w:ascii="Arial" w:cs="Arial" w:eastAsia="Arial" w:hAnsi="Arial"/>
          <w:color w:val="17181A"/>
          <w:sz w:val="20"/>
          <w:szCs w:val="20"/>
        </w:rPr>
        <w:t xml:space="preserve">A. Verify substrate is clean, porous, and free of coatings, curing compounds, sealers, and contaminants that inhibit penetration. Mechanically remove existing coatings.</w:t>
      </w:r>
    </w:p>
    <w:p>
      <w:pPr>
        <w:keepLines/>
        <w:spacing w:after="100"/>
        <w:ind w:left="720" w:hanging="360"/>
      </w:pPr>
      <w:r>
        <w:rPr>
          <w:rFonts w:ascii="Arial" w:cs="Arial" w:eastAsia="Arial" w:hAnsi="Arial"/>
          <w:color w:val="17181A"/>
          <w:sz w:val="20"/>
          <w:szCs w:val="20"/>
        </w:rPr>
        <w:t xml:space="preserve">B. For freshly poured concrete, verify slab is hard enough for foot traffic prior to application.</w:t>
      </w:r>
    </w:p>
    <w:p>
      <w:pPr>
        <w:keepLines/>
        <w:spacing w:after="100"/>
        <w:ind w:left="720" w:hanging="360"/>
      </w:pPr>
      <w:r>
        <w:rPr>
          <w:rFonts w:ascii="Arial" w:cs="Arial" w:eastAsia="Arial" w:hAnsi="Arial"/>
          <w:color w:val="17181A"/>
          <w:sz w:val="20"/>
          <w:szCs w:val="20"/>
        </w:rPr>
        <w:t xml:space="preserve">C. Do not proceed until unsatisfactory conditions have been corrected.</w:t>
      </w:r>
    </w:p>
    <w:p>
      <w:pPr>
        <w:keepNext/>
        <w:keepLines/>
        <w:spacing w:after="120" w:before="280"/>
      </w:pPr>
      <w:r>
        <w:rPr>
          <w:rFonts w:ascii="Arial" w:cs="Arial" w:eastAsia="Arial" w:hAnsi="Arial"/>
          <w:b/>
          <w:bCs/>
          <w:color w:val="17181A"/>
          <w:sz w:val="20"/>
          <w:szCs w:val="20"/>
        </w:rPr>
        <w:t xml:space="preserve">3.2  PREPARATION</w:t>
      </w:r>
    </w:p>
    <w:p>
      <w:pPr>
        <w:keepLines/>
        <w:spacing w:after="100"/>
        <w:ind w:left="720" w:hanging="360"/>
      </w:pPr>
      <w:r>
        <w:rPr>
          <w:rFonts w:ascii="Arial" w:cs="Arial" w:eastAsia="Arial" w:hAnsi="Arial"/>
          <w:color w:val="17181A"/>
          <w:sz w:val="20"/>
          <w:szCs w:val="20"/>
        </w:rPr>
        <w:t xml:space="preserve">A. Protect adjacent finished surfaces from overspray.</w:t>
      </w:r>
    </w:p>
    <w:p>
      <w:pPr>
        <w:keepNext/>
        <w:keepLines/>
        <w:spacing w:after="120" w:before="280"/>
      </w:pPr>
      <w:r>
        <w:rPr>
          <w:rFonts w:ascii="Arial" w:cs="Arial" w:eastAsia="Arial" w:hAnsi="Arial"/>
          <w:b/>
          <w:bCs/>
          <w:color w:val="17181A"/>
          <w:sz w:val="20"/>
          <w:szCs w:val="20"/>
        </w:rPr>
        <w:t xml:space="preserve">3.3  APPLICATION</w:t>
      </w:r>
    </w:p>
    <w:p>
      <w:pPr>
        <w:keepLines/>
        <w:spacing w:after="100"/>
        <w:ind w:left="720" w:hanging="360"/>
      </w:pPr>
      <w:r>
        <w:rPr>
          <w:rFonts w:ascii="Arial" w:cs="Arial" w:eastAsia="Arial" w:hAnsi="Arial"/>
          <w:color w:val="17181A"/>
          <w:sz w:val="20"/>
          <w:szCs w:val="20"/>
        </w:rPr>
        <w:t xml:space="preserve">A. Equipment: Apply using a pump or battery-powered sprayer with a cone or wide fan spray tip.</w:t>
      </w:r>
    </w:p>
    <w:p>
      <w:pPr>
        <w:keepLines/>
        <w:spacing w:after="100"/>
        <w:ind w:left="720" w:hanging="360"/>
      </w:pPr>
      <w:r>
        <w:rPr>
          <w:rFonts w:ascii="Arial" w:cs="Arial" w:eastAsia="Arial" w:hAnsi="Arial"/>
          <w:color w:val="17181A"/>
          <w:sz w:val="20"/>
          <w:szCs w:val="20"/>
        </w:rPr>
        <w:t xml:space="preserve">B. Apply by fully wetting the concrete slab; avoid puddling. Slab shall remain wet for 10 to 15 minutes.</w:t>
      </w:r>
    </w:p>
    <w:p>
      <w:pPr>
        <w:keepLines/>
        <w:spacing w:after="100"/>
        <w:ind w:left="720" w:hanging="360"/>
      </w:pPr>
      <w:r>
        <w:rPr>
          <w:rFonts w:ascii="Arial" w:cs="Arial" w:eastAsia="Arial" w:hAnsi="Arial"/>
          <w:color w:val="17181A"/>
          <w:sz w:val="20"/>
          <w:szCs w:val="20"/>
        </w:rPr>
        <w:t xml:space="preserve">C. Allow slab to become dry to the touch (typically 2 to 3 hours) prior to resuming traffic.</w:t>
      </w:r>
    </w:p>
    <w:p>
      <w:pPr>
        <w:keepLines/>
        <w:spacing w:after="100"/>
        <w:ind w:left="720" w:hanging="360"/>
      </w:pPr>
      <w:r>
        <w:rPr>
          <w:rFonts w:ascii="Arial" w:cs="Arial" w:eastAsia="Arial" w:hAnsi="Arial"/>
          <w:color w:val="17181A"/>
          <w:sz w:val="20"/>
          <w:szCs w:val="20"/>
        </w:rPr>
        <w:t xml:space="preserve">D. If dust appears on the surface due to heavy puddling, broom sweep once dry.</w:t>
      </w:r>
    </w:p>
    <w:p>
      <w:pPr>
        <w:keepLines/>
        <w:spacing w:after="100"/>
        <w:ind w:left="720" w:hanging="360"/>
      </w:pPr>
      <w:r>
        <w:rPr>
          <w:rFonts w:ascii="Arial" w:cs="Arial" w:eastAsia="Arial" w:hAnsi="Arial"/>
          <w:color w:val="17181A"/>
          <w:sz w:val="20"/>
          <w:szCs w:val="20"/>
        </w:rPr>
        <w:t xml:space="preserve">E. Where curing compounds are required by other Sections, apply curing compound after application of Li 200 Logistics, once all visible puddling has absorbed into the concrete surface. Surface may remain wet to the touch; drying to the touch is not required prior to curing compound application.</w:t>
      </w:r>
    </w:p>
    <w:p>
      <w:pPr>
        <w:keepNext/>
        <w:keepLines/>
        <w:spacing w:after="120" w:before="280"/>
      </w:pPr>
      <w:r>
        <w:rPr>
          <w:rFonts w:ascii="Arial" w:cs="Arial" w:eastAsia="Arial" w:hAnsi="Arial"/>
          <w:b/>
          <w:bCs/>
          <w:color w:val="17181A"/>
          <w:sz w:val="20"/>
          <w:szCs w:val="20"/>
        </w:rPr>
        <w:t xml:space="preserve">3.4  APPLICATION RATES</w:t>
      </w:r>
    </w:p>
    <w:p>
      <w:pPr>
        <w:keepLines/>
        <w:spacing w:after="100"/>
        <w:ind w:left="720" w:hanging="360"/>
      </w:pPr>
      <w:r>
        <w:rPr>
          <w:rFonts w:ascii="Arial" w:cs="Arial" w:eastAsia="Arial" w:hAnsi="Arial"/>
          <w:color w:val="17181A"/>
          <w:sz w:val="20"/>
          <w:szCs w:val="20"/>
        </w:rPr>
        <w:t xml:space="preserve">A. Hard troweled surfaces: 400 to 800 sq. ft. per gallon.</w:t>
      </w:r>
    </w:p>
    <w:p>
      <w:pPr>
        <w:keepLines/>
        <w:spacing w:after="100"/>
        <w:ind w:left="720" w:hanging="360"/>
      </w:pPr>
      <w:r>
        <w:rPr>
          <w:rFonts w:ascii="Arial" w:cs="Arial" w:eastAsia="Arial" w:hAnsi="Arial"/>
          <w:color w:val="17181A"/>
          <w:sz w:val="20"/>
          <w:szCs w:val="20"/>
        </w:rPr>
        <w:t xml:space="preserve">B. Broom finished concrete: 200 to 400 sq. ft. per gallon.</w:t>
      </w:r>
    </w:p>
    <w:p>
      <w:pPr>
        <w:keepLines/>
        <w:spacing w:after="100"/>
        <w:ind w:left="720" w:hanging="360"/>
      </w:pPr>
      <w:r>
        <w:rPr>
          <w:rFonts w:ascii="Arial" w:cs="Arial" w:eastAsia="Arial" w:hAnsi="Arial"/>
          <w:color w:val="17181A"/>
          <w:sz w:val="20"/>
          <w:szCs w:val="20"/>
        </w:rPr>
        <w:t xml:space="preserve">C. Actual coverage varies with surface texture and porosity; confirm with field sample per Article 1.4.</w:t>
      </w:r>
    </w:p>
    <w:p>
      <w:pPr>
        <w:keepNext/>
        <w:keepLines/>
        <w:spacing w:after="120" w:before="280"/>
      </w:pPr>
      <w:r>
        <w:rPr>
          <w:rFonts w:ascii="Arial" w:cs="Arial" w:eastAsia="Arial" w:hAnsi="Arial"/>
          <w:b/>
          <w:bCs/>
          <w:color w:val="17181A"/>
          <w:sz w:val="20"/>
          <w:szCs w:val="20"/>
        </w:rPr>
        <w:t xml:space="preserve">3.5  FIELD QUALITY CONTROL</w:t>
      </w:r>
    </w:p>
    <w:p>
      <w:pPr>
        <w:keepLines/>
        <w:spacing w:after="100"/>
        <w:ind w:left="720" w:hanging="360"/>
      </w:pPr>
      <w:r>
        <w:rPr>
          <w:rFonts w:ascii="Arial" w:cs="Arial" w:eastAsia="Arial" w:hAnsi="Arial"/>
          <w:color w:val="17181A"/>
          <w:sz w:val="20"/>
          <w:szCs w:val="20"/>
        </w:rPr>
        <w:t xml:space="preserve">A. Verify application rate by monitoring material usage against treated area; adjust application to maintain specified spread rates.</w:t>
      </w:r>
    </w:p>
    <w:p>
      <w:pPr>
        <w:keepLines/>
        <w:spacing w:after="100"/>
        <w:ind w:left="720" w:hanging="360"/>
      </w:pPr>
      <w:r>
        <w:rPr>
          <w:rFonts w:ascii="Arial" w:cs="Arial" w:eastAsia="Arial" w:hAnsi="Arial"/>
          <w:color w:val="17181A"/>
          <w:sz w:val="20"/>
          <w:szCs w:val="20"/>
        </w:rPr>
        <w:t xml:space="preserve">B. Inspect treated surfaces for uniform coverage and complete absorption of visible puddling prior to demobilization.</w:t>
      </w:r>
    </w:p>
    <w:p>
      <w:pPr>
        <w:keepNext/>
        <w:keepLines/>
        <w:spacing w:after="120" w:before="280"/>
      </w:pPr>
      <w:r>
        <w:rPr>
          <w:rFonts w:ascii="Arial" w:cs="Arial" w:eastAsia="Arial" w:hAnsi="Arial"/>
          <w:b/>
          <w:bCs/>
          <w:color w:val="17181A"/>
          <w:sz w:val="20"/>
          <w:szCs w:val="20"/>
        </w:rPr>
        <w:t xml:space="preserve">3.6  CLEANING</w:t>
      </w:r>
    </w:p>
    <w:p>
      <w:pPr>
        <w:keepLines/>
        <w:spacing w:after="100"/>
        <w:ind w:left="720" w:hanging="360"/>
      </w:pPr>
      <w:r>
        <w:rPr>
          <w:rFonts w:ascii="Arial" w:cs="Arial" w:eastAsia="Arial" w:hAnsi="Arial"/>
          <w:color w:val="17181A"/>
          <w:sz w:val="20"/>
          <w:szCs w:val="20"/>
        </w:rPr>
        <w:t xml:space="preserve">A. Clean sprayers, brooms, and application equipment with water immediately after use.</w:t>
      </w:r>
    </w:p>
    <w:p>
      <w:pPr>
        <w:keepLines/>
        <w:spacing w:after="100"/>
        <w:ind w:left="720" w:hanging="360"/>
      </w:pPr>
      <w:r>
        <w:rPr>
          <w:rFonts w:ascii="Arial" w:cs="Arial" w:eastAsia="Arial" w:hAnsi="Arial"/>
          <w:color w:val="17181A"/>
          <w:sz w:val="20"/>
          <w:szCs w:val="20"/>
        </w:rPr>
        <w:t xml:space="preserve">B. Remove overspray from adjacent finished surfaces immediately.</w:t>
      </w:r>
    </w:p>
    <w:p>
      <w:pPr>
        <w:keepNext/>
        <w:keepLines/>
        <w:spacing w:after="120" w:before="280"/>
      </w:pPr>
      <w:r>
        <w:rPr>
          <w:rFonts w:ascii="Arial" w:cs="Arial" w:eastAsia="Arial" w:hAnsi="Arial"/>
          <w:b/>
          <w:bCs/>
          <w:color w:val="17181A"/>
          <w:sz w:val="20"/>
          <w:szCs w:val="20"/>
        </w:rPr>
        <w:t xml:space="preserve">3.7  PROTECTION</w:t>
      </w:r>
    </w:p>
    <w:p>
      <w:pPr>
        <w:keepLines/>
        <w:spacing w:after="100"/>
        <w:ind w:left="720" w:hanging="360"/>
      </w:pPr>
      <w:r>
        <w:rPr>
          <w:rFonts w:ascii="Arial" w:cs="Arial" w:eastAsia="Arial" w:hAnsi="Arial"/>
          <w:color w:val="17181A"/>
          <w:sz w:val="20"/>
          <w:szCs w:val="20"/>
        </w:rPr>
        <w:t xml:space="preserve">A. Protect treated surfaces from traffic until dry to the touch (typically 2 to 3 hours after application).</w:t>
      </w:r>
    </w:p>
    <w:p>
      <w:pPr>
        <w:spacing w:before="420"/>
        <w:jc w:val="center"/>
      </w:pPr>
      <w:r>
        <w:rPr>
          <w:rFonts w:ascii="Arial" w:cs="Arial" w:eastAsia="Arial" w:hAnsi="Arial"/>
          <w:b/>
          <w:bCs/>
          <w:color w:val="17181A"/>
          <w:sz w:val="20"/>
          <w:szCs w:val="20"/>
        </w:rPr>
        <w:t xml:space="preserve">END OF SECTION 03 35 00</w:t>
      </w:r>
    </w:p>
    <w:sectPr>
      <w:headerReference w:type="default" r:id="rId7"/>
      <w:footerReference w:type="default" r:id="rId8"/>
      <w:pgSz w:w="12240" w:h="15840" w:orient="portrait"/>
      <w:pgMar w:top="1080" w:right="1440" w:bottom="108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9D9D5" w:sz="6" w:space="2"/>
      </w:pBdr>
      <w:jc w:val="center"/>
    </w:pPr>
    <w:r>
      <w:rPr>
        <w:rFonts w:ascii="Arial" w:cs="Arial" w:eastAsia="Arial" w:hAnsi="Arial"/>
        <w:color w:val="62656A"/>
        <w:sz w:val="16"/>
        <w:szCs w:val="16"/>
      </w:rPr>
      <w:t xml:space="preserve">CONCRETE FINISHING     03 35 00 - </w:t>
    </w:r>
    <w:r>
      <w:rPr>
        <w:rFonts w:ascii="Arial" w:cs="Arial" w:eastAsia="Arial" w:hAnsi="Arial"/>
        <w:color w:val="62656A"/>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D9D9D5" w:sz="6" w:space="2"/>
      </w:pBdr>
      <w:tabs>
        <w:tab w:val="right" w:pos="9360"/>
      </w:tabs>
    </w:pPr>
    <w:r>
      <w:rPr>
        <w:rFonts w:ascii="Arial" w:cs="Arial" w:eastAsia="Arial" w:hAnsi="Arial"/>
        <w:color w:val="62656A"/>
        <w:sz w:val="16"/>
        <w:szCs w:val="16"/>
      </w:rPr>
      <w:t xml:space="preserve">BONE DRY PRODUCTS, INC.  |  GUIDE SPECIFICATION</w:t>
    </w:r>
    <w:r>
      <w:rPr>
        <w:rFonts w:ascii="Arial" w:cs="Arial" w:eastAsia="Arial" w:hAnsi="Arial"/>
        <w:b/>
        <w:bCs/>
        <w:color w:val="C8102E"/>
        <w:sz w:val="16"/>
        <w:szCs w:val="16"/>
      </w:rPr>
      <w:t xml:space="preserve">	LI 200 LOGISTICS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17181A"/>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2026-07-15T15:10:06.807Z</dcterms:created>
  <dcterms:modified xsi:type="dcterms:W3CDTF">2026-07-15T15:10:06.821Z</dcterms:modified>
</cp:coreProperties>
</file>

<file path=docProps/custom.xml><?xml version="1.0" encoding="utf-8"?>
<Properties xmlns="http://schemas.openxmlformats.org/officeDocument/2006/custom-properties" xmlns:vt="http://schemas.openxmlformats.org/officeDocument/2006/docPropsVTypes"/>
</file>